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rFonts w:ascii="Noto Serif" w:hAnsi="Noto Serif" w:eastAsia="Noto Serif" w:cs="Noto Serif"/>
          <w:b/>
          <w:color w:val="000000"/>
          <w:sz w:val="20"/>
        </w:rPr>
        <w:t>CỘNG HÒA XÃ HỘI CHỦ NGHĨA VIỆT NAM</w:t>
      </w:r>
    </w:p>
    <w:p>
      <w:pPr>
        <w:spacing w:after="240" w:before="0"/>
        <w:jc w:val="center"/>
      </w:pPr>
      <w:r>
        <w:rPr>
          <w:rFonts w:ascii="Noto Serif" w:hAnsi="Noto Serif" w:eastAsia="Noto Serif" w:cs="Noto Serif"/>
          <w:b w:val="0"/>
          <w:color w:val="000000"/>
          <w:sz w:val="20"/>
        </w:rPr>
        <w:t>Độc lập Tự do Hạnh phúc</w:t>
      </w:r>
    </w:p>
    <w:p>
      <w:pPr>
        <w:pStyle w:val="Title"/>
        <w:spacing w:after="120" w:before="0"/>
        <w:jc w:val="center"/>
      </w:pPr>
      <w:r>
        <w:rPr>
          <w:rFonts w:ascii="Noto Serif" w:hAnsi="Noto Serif" w:eastAsia="Noto Serif" w:cs="Noto Serif"/>
          <w:b w:val="0"/>
          <w:color w:val="000000"/>
        </w:rPr>
        <w:t>Hợp đồng thiết lập kế toán ban đầu</w:t>
      </w:r>
    </w:p>
    <w:p>
      <w:pPr>
        <w:pStyle w:val="Subtitle"/>
        <w:spacing w:after="200" w:before="0"/>
        <w:jc w:val="center"/>
      </w:pPr>
      <w:r>
        <w:rPr>
          <w:rFonts w:ascii="Noto Serif" w:hAnsi="Noto Serif" w:eastAsia="Noto Serif" w:cs="Noto Serif"/>
          <w:b w:val="0"/>
          <w:color w:val="000000"/>
          <w:sz w:val="20"/>
        </w:rPr>
        <w:t>Mẫu 02 phiên bản 2026 1</w:t>
      </w:r>
    </w:p>
    <w:p>
      <w:pPr>
        <w:spacing w:after="160" w:before="0"/>
      </w:pPr>
      <w:r>
        <w:rPr>
          <w:rFonts w:ascii="Noto Serif" w:hAnsi="Noto Serif" w:eastAsia="Noto Serif" w:cs="Noto Serif"/>
          <w:b w:val="0"/>
          <w:color w:val="000000"/>
          <w:sz w:val="20"/>
        </w:rPr>
        <w:t>Số hợp đồng [số]/2026/[mã]     Ngày ký [ngày]     Địa điểm [địa điểm]</w:t>
      </w:r>
    </w:p>
    <w:p>
      <w:pPr>
        <w:spacing w:after="140" w:before="0"/>
      </w:pPr>
      <w:r>
        <w:rPr>
          <w:rFonts w:ascii="Noto Serif" w:hAnsi="Noto Serif" w:eastAsia="Noto Serif" w:cs="Noto Serif"/>
          <w:b w:val="0"/>
          <w:color w:val="000000"/>
        </w:rPr>
        <w:t>Thiết lập hồ sơ, danh mục và quy trình kế toán cho doanh nghiệp mới thành lập hoặc mới tổ chức bộ máy kế toán.</w:t>
      </w:r>
    </w:p>
    <w:p>
      <w:pPr>
        <w:spacing w:after="160" w:before="0"/>
      </w:pPr>
      <w:r>
        <w:rPr>
          <w:rFonts w:ascii="Noto Serif" w:hAnsi="Noto Serif" w:eastAsia="Noto Serif" w:cs="Noto Serif"/>
          <w:b w:val="0"/>
          <w:color w:val="000000"/>
          <w:sz w:val="18"/>
        </w:rPr>
        <w:t>Trước khi ký, điền các ô trong ngoặc vuông, chọn rõ phạm vi tại Phụ lục 01 và xóa lựa chọn không sử dụng. Đây là mẫu tham khảo do Kế Toán Việt Hưng biên soạn, không phải biểu mẫu bắt buộc do cơ quan nhà nước ban hành.</w:t>
      </w:r>
    </w:p>
    <w:p>
      <w:pPr>
        <w:spacing w:after="160" w:before="0"/>
      </w:pPr>
      <w:r>
        <w:rPr>
          <w:rFonts w:ascii="Noto Serif" w:hAnsi="Noto Serif" w:eastAsia="Noto Serif" w:cs="Noto Serif"/>
          <w:b w:val="0"/>
          <w:color w:val="000000"/>
          <w:sz w:val="20"/>
        </w:rPr>
        <w:t>Các bên căn cứ Bộ luật Dân sự 91/2015/QH13, Luật Thương mại 36/2005/QH11 khi thuộc phạm vi áp dụng, Luật Kế toán 88/2015/QH13 đã được sửa đổi, bổ sung và các quy định chuyên ngành nêu tại Phụ lục 02 để thỏa thuận như sau.</w:t>
      </w:r>
    </w:p>
    <w:p>
      <w:pPr>
        <w:pStyle w:val="Heading2"/>
        <w:spacing w:after="140" w:before="180"/>
      </w:pPr>
      <w:r>
        <w:rPr>
          <w:rFonts w:ascii="Noto Serif" w:hAnsi="Noto Serif" w:eastAsia="Noto Serif" w:cs="Noto Serif"/>
          <w:b/>
          <w:color w:val="000000"/>
        </w:rPr>
        <w:t>Bên A bên sử dụng dịch vụ</w:t>
      </w:r>
    </w:p>
    <w:p>
      <w:pPr>
        <w:spacing w:after="80" w:before="0"/>
      </w:pPr>
      <w:r>
        <w:rPr>
          <w:rFonts w:ascii="Noto Serif" w:hAnsi="Noto Serif" w:eastAsia="Noto Serif" w:cs="Noto Serif"/>
          <w:b w:val="0"/>
          <w:color w:val="000000"/>
          <w:sz w:val="20"/>
        </w:rPr>
        <w:t>Tên doanh nghiệp [tên đầy đủ]     Mã số thuế [mã số thuế]</w:t>
      </w:r>
    </w:p>
    <w:p>
      <w:pPr>
        <w:spacing w:after="80" w:before="0"/>
      </w:pPr>
      <w:r>
        <w:rPr>
          <w:rFonts w:ascii="Noto Serif" w:hAnsi="Noto Serif" w:eastAsia="Noto Serif" w:cs="Noto Serif"/>
          <w:b w:val="0"/>
          <w:color w:val="000000"/>
          <w:sz w:val="20"/>
        </w:rPr>
        <w:t>Địa chỉ [địa chỉ trụ sở]</w:t>
      </w:r>
    </w:p>
    <w:p>
      <w:pPr>
        <w:spacing w:after="80" w:before="0"/>
      </w:pPr>
      <w:r>
        <w:rPr>
          <w:rFonts w:ascii="Noto Serif" w:hAnsi="Noto Serif" w:eastAsia="Noto Serif" w:cs="Noto Serif"/>
          <w:b w:val="0"/>
          <w:color w:val="000000"/>
          <w:sz w:val="20"/>
        </w:rPr>
        <w:t>Người đại diện [họ tên]     Chức vụ [chức vụ]</w:t>
      </w:r>
    </w:p>
    <w:p>
      <w:pPr>
        <w:spacing w:after="80" w:before="0"/>
      </w:pPr>
      <w:r>
        <w:rPr>
          <w:rFonts w:ascii="Noto Serif" w:hAnsi="Noto Serif" w:eastAsia="Noto Serif" w:cs="Noto Serif"/>
          <w:b w:val="0"/>
          <w:color w:val="000000"/>
          <w:sz w:val="20"/>
        </w:rPr>
        <w:t>Căn cứ đại diện [theo pháp luật hoặc văn bản ủy quyền số ngày phạm vi]</w:t>
      </w:r>
    </w:p>
    <w:p>
      <w:pPr>
        <w:spacing w:after="80" w:before="0"/>
      </w:pPr>
      <w:r>
        <w:rPr>
          <w:rFonts w:ascii="Noto Serif" w:hAnsi="Noto Serif" w:eastAsia="Noto Serif" w:cs="Noto Serif"/>
          <w:b w:val="0"/>
          <w:color w:val="000000"/>
          <w:sz w:val="20"/>
        </w:rPr>
        <w:t>Đầu mối [họ tên]     Điện thoại [số]     Email [địa chỉ]</w:t>
      </w:r>
    </w:p>
    <w:p>
      <w:pPr>
        <w:pStyle w:val="Heading2"/>
        <w:spacing w:after="140" w:before="180"/>
      </w:pPr>
      <w:r>
        <w:rPr>
          <w:rFonts w:ascii="Noto Serif" w:hAnsi="Noto Serif" w:eastAsia="Noto Serif" w:cs="Noto Serif"/>
          <w:b/>
          <w:color w:val="000000"/>
        </w:rPr>
        <w:t>Bên B bên cung cấp dịch vụ</w:t>
      </w:r>
    </w:p>
    <w:p>
      <w:pPr>
        <w:spacing w:after="80" w:before="0"/>
      </w:pPr>
      <w:r>
        <w:rPr>
          <w:rFonts w:ascii="Noto Serif" w:hAnsi="Noto Serif" w:eastAsia="Noto Serif" w:cs="Noto Serif"/>
          <w:b w:val="0"/>
          <w:color w:val="000000"/>
          <w:sz w:val="20"/>
        </w:rPr>
        <w:t>Tên tổ chức hoặc chủ thể kinh doanh [tên đầy đủ]     Mã số thuế [mã số]</w:t>
      </w:r>
    </w:p>
    <w:p>
      <w:pPr>
        <w:spacing w:after="80" w:before="0"/>
      </w:pPr>
      <w:r>
        <w:rPr>
          <w:rFonts w:ascii="Noto Serif" w:hAnsi="Noto Serif" w:eastAsia="Noto Serif" w:cs="Noto Serif"/>
          <w:b w:val="0"/>
          <w:color w:val="000000"/>
          <w:sz w:val="20"/>
        </w:rPr>
        <w:t>Địa chỉ [địa chỉ trụ sở]     Người đại diện [họ tên chức vụ căn cứ]</w:t>
      </w:r>
    </w:p>
    <w:p>
      <w:pPr>
        <w:spacing w:after="80" w:before="0"/>
      </w:pPr>
      <w:r>
        <w:rPr>
          <w:rFonts w:ascii="Noto Serif" w:hAnsi="Noto Serif" w:eastAsia="Noto Serif" w:cs="Noto Serif"/>
          <w:b w:val="0"/>
          <w:color w:val="000000"/>
          <w:sz w:val="20"/>
        </w:rPr>
        <w:t>Hồ sơ điều kiện kinh doanh và hành nghề [số ngày đơn vị cấp hoặc căn cứ phù hợp]</w:t>
      </w:r>
    </w:p>
    <w:p>
      <w:pPr>
        <w:spacing w:after="80" w:before="0"/>
      </w:pPr>
      <w:r>
        <w:rPr>
          <w:rFonts w:ascii="Noto Serif" w:hAnsi="Noto Serif" w:eastAsia="Noto Serif" w:cs="Noto Serif"/>
          <w:b w:val="0"/>
          <w:color w:val="000000"/>
          <w:sz w:val="20"/>
        </w:rPr>
        <w:t>Người trực tiếp phụ trách [họ tên]     Hồ sơ năng lực [tham chiếu]</w:t>
      </w:r>
    </w:p>
    <w:p>
      <w:pPr>
        <w:spacing w:after="80" w:before="0"/>
      </w:pPr>
      <w:r>
        <w:rPr>
          <w:rFonts w:ascii="Noto Serif" w:hAnsi="Noto Serif" w:eastAsia="Noto Serif" w:cs="Noto Serif"/>
          <w:b w:val="0"/>
          <w:color w:val="000000"/>
          <w:sz w:val="20"/>
        </w:rPr>
        <w:t>Đầu mối [họ tên]     Điện thoại [số]     Email [địa chỉ]</w:t>
      </w:r>
    </w:p>
    <w:p>
      <w:pPr>
        <w:pStyle w:val="Heading1"/>
        <w:spacing w:after="140" w:before="180"/>
      </w:pPr>
      <w:r>
        <w:rPr>
          <w:rFonts w:ascii="Noto Serif" w:hAnsi="Noto Serif" w:eastAsia="Noto Serif" w:cs="Noto Serif"/>
          <w:b/>
          <w:color w:val="000000"/>
        </w:rPr>
        <w:t>Điều 1 Thời hạn và điều kiện cung cấp dịch vụ</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1.1. </w:t>
      </w:r>
      <w:r>
        <w:rPr>
          <w:rFonts w:ascii="Noto Serif" w:hAnsi="Noto Serif" w:eastAsia="Noto Serif" w:cs="Noto Serif"/>
          <w:color w:val="000000"/>
        </w:rPr>
        <w:t>Từ ngày [ngày bắt đầu] đến ngày nghiệm thu dự kiến [ngày]. Phạm vi doanh nghiệp, kỳ và giới hạn khối lượng ghi tại Phụ lục 01; phần chưa chọn không mặc nhiên thuộc giá trọn gói.</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1.2. </w:t>
      </w:r>
      <w:r>
        <w:rPr>
          <w:rFonts w:ascii="Noto Serif" w:hAnsi="Noto Serif" w:eastAsia="Noto Serif" w:cs="Noto Serif"/>
          <w:color w:val="000000"/>
        </w:rPr>
        <w:t>B chỉ thực hiện dịch vụ kế toán khi đáp ứng điều kiện kinh doanh và hành nghề phù hợp; kiểm tra xung đột lợi ích và trường hợp bị cấm. Tổ chức dịch vụ thủ tục thuế chỉ dùng cơ chế Điều 70a Luật Kế toán cho doanh nghiệp siêu nhỏ khi có ít nhất một người có chứng chỉ kế toán viên; không áp dụng cơ chế đó cho mọi doanh nghiệp.</w:t>
      </w:r>
    </w:p>
    <w:p>
      <w:pPr>
        <w:pStyle w:val="Heading1"/>
        <w:spacing w:after="140" w:before="180"/>
      </w:pPr>
      <w:r>
        <w:rPr>
          <w:rFonts w:ascii="Noto Serif" w:hAnsi="Noto Serif" w:eastAsia="Noto Serif" w:cs="Noto Serif"/>
          <w:b/>
          <w:color w:val="000000"/>
        </w:rPr>
        <w:t>Điều 2 Công việc và sản phẩm bàn giao</w:t>
      </w:r>
    </w:p>
    <w:p>
      <w:pPr>
        <w:spacing w:after="120" w:before="0"/>
      </w:pPr>
      <w:r>
        <w:rPr>
          <w:rFonts w:ascii="Noto Serif" w:hAnsi="Noto Serif" w:eastAsia="Noto Serif" w:cs="Noto Serif"/>
          <w:b w:val="0"/>
          <w:color w:val="000000"/>
        </w:rPr>
        <w:t>Hai bên lựa chọn và ghi khối lượng cụ thể tại Phụ lục 01. Sản phẩm phải có kỳ, nguồn số liệu, người lập, phiên bản và định dạng bàn giao phù hợp.</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203"/>
        <w:gridCol w:w="4507"/>
        <w:gridCol w:w="3053"/>
      </w:tblGrid>
      <w:tr>
        <w:trPr>
          <w:tblHeader/>
          <w:cantSplit/>
        </w:trPr>
        <w:tc>
          <w:tcPr>
            <w:tcW w:type="dxa" w:w="2203"/>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Hạng mục</w:t>
            </w:r>
          </w:p>
        </w:tc>
        <w:tc>
          <w:tcPr>
            <w:tcW w:type="dxa" w:w="4507"/>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Sản phẩm hoặc bằng chứng</w:t>
            </w:r>
          </w:p>
        </w:tc>
        <w:tc>
          <w:tcPr>
            <w:tcW w:type="dxa" w:w="3053"/>
            <w:vAlign w:val="center"/>
            <w:tcMar>
              <w:top w:w="80" w:type="dxa"/>
              <w:bottom w:w="80" w:type="dxa"/>
              <w:left w:w="105" w:type="dxa"/>
              <w:right w:w="105" w:type="dxa"/>
            </w:tcMar>
            <w:shd w:fill="17334B"/>
          </w:tcPr>
          <w:p>
            <w:pPr>
              <w:spacing w:after="20" w:line="269" w:lineRule="auto"/>
              <w:jc w:val="left"/>
            </w:pPr>
            <w:r>
              <w:rPr>
                <w:rFonts w:ascii="Noto Serif" w:hAnsi="Noto Serif" w:eastAsia="Noto Serif" w:cs="Noto Serif"/>
                <w:b/>
                <w:color w:val="FFFFFF"/>
                <w:sz w:val="20"/>
              </w:rPr>
              <w:t>Kỳ và điều kiện</w:t>
            </w:r>
          </w:p>
        </w:tc>
      </w:tr>
      <w:tr>
        <w:trPr>
          <w:cantSplit/>
        </w:trPr>
        <w:tc>
          <w:tcPr>
            <w:tcW w:type="dxa" w:w="2203"/>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Khảo sát ban đầu</w:t>
            </w:r>
          </w:p>
        </w:tc>
        <w:tc>
          <w:tcPr>
            <w:tcW w:type="dxa" w:w="450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Bản mô tả hoạt động, danh mục nghĩa vụ và hồ sơ còn thiếu</w:t>
            </w:r>
          </w:p>
        </w:tc>
        <w:tc>
          <w:tcPr>
            <w:tcW w:type="dxa" w:w="3053"/>
            <w:vAlign w:val="center"/>
            <w:tcMar>
              <w:top w:w="80" w:type="dxa"/>
              <w:bottom w:w="80" w:type="dxa"/>
              <w:left w:w="105" w:type="dxa"/>
              <w:right w:w="105" w:type="dxa"/>
            </w:tcMar>
            <w:shd w:fill="FFFFFF"/>
          </w:tcPr>
          <w:p>
            <w:pPr>
              <w:spacing w:after="20" w:line="269" w:lineRule="auto"/>
              <w:jc w:val="left"/>
            </w:pPr>
            <w:r>
              <w:rPr>
                <w:rFonts w:ascii="Noto Serif" w:hAnsi="Noto Serif" w:eastAsia="Noto Serif" w:cs="Noto Serif"/>
                <w:b w:val="0"/>
                <w:color w:val="000000"/>
                <w:sz w:val="20"/>
              </w:rPr>
              <w:t>Trong [ ] ngày làm việc</w:t>
            </w:r>
          </w:p>
        </w:tc>
      </w:tr>
      <w:tr>
        <w:trPr>
          <w:cantSplit/>
        </w:trPr>
        <w:tc>
          <w:tcPr>
            <w:tcW w:type="dxa" w:w="2203"/>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Chính sách kế toán</w:t>
            </w:r>
          </w:p>
        </w:tc>
        <w:tc>
          <w:tcPr>
            <w:tcW w:type="dxa" w:w="450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Đề xuất chế độ, năm tài chính, phương pháp và tài khoản</w:t>
            </w:r>
          </w:p>
        </w:tc>
        <w:tc>
          <w:tcPr>
            <w:tcW w:type="dxa" w:w="3053"/>
            <w:vAlign w:val="center"/>
            <w:tcMar>
              <w:top w:w="80" w:type="dxa"/>
              <w:bottom w:w="80" w:type="dxa"/>
              <w:left w:w="105" w:type="dxa"/>
              <w:right w:w="105" w:type="dxa"/>
            </w:tcMar>
            <w:shd w:fill="F3F6F8"/>
          </w:tcPr>
          <w:p>
            <w:pPr>
              <w:spacing w:after="20" w:line="269" w:lineRule="auto"/>
              <w:jc w:val="left"/>
            </w:pPr>
            <w:r>
              <w:rPr>
                <w:rFonts w:ascii="Noto Serif" w:hAnsi="Noto Serif" w:eastAsia="Noto Serif" w:cs="Noto Serif"/>
                <w:b w:val="0"/>
                <w:color w:val="000000"/>
                <w:sz w:val="20"/>
              </w:rPr>
              <w:t>A phê duyệt bằng văn bản</w:t>
            </w:r>
          </w:p>
        </w:tc>
      </w:tr>
      <w:tr>
        <w:trPr>
          <w:cantSplit/>
        </w:trPr>
        <w:tc>
          <w:tcPr>
            <w:tcW w:type="dxa" w:w="2203"/>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Thiết lập danh mục</w:t>
            </w:r>
          </w:p>
        </w:tc>
        <w:tc>
          <w:tcPr>
            <w:tcW w:type="dxa" w:w="450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Danh mục tài khoản, đối tượng, kho, sản phẩm và mã theo dõi</w:t>
            </w:r>
          </w:p>
        </w:tc>
        <w:tc>
          <w:tcPr>
            <w:tcW w:type="dxa" w:w="3053"/>
            <w:vAlign w:val="center"/>
            <w:tcMar>
              <w:top w:w="80" w:type="dxa"/>
              <w:bottom w:w="80" w:type="dxa"/>
              <w:left w:w="105" w:type="dxa"/>
              <w:right w:w="105" w:type="dxa"/>
            </w:tcMar>
            <w:shd w:fill="FFFFFF"/>
          </w:tcPr>
          <w:p>
            <w:pPr>
              <w:spacing w:after="20" w:line="269" w:lineRule="auto"/>
              <w:jc w:val="left"/>
            </w:pPr>
            <w:r>
              <w:rPr>
                <w:rFonts w:ascii="Noto Serif" w:hAnsi="Noto Serif" w:eastAsia="Noto Serif" w:cs="Noto Serif"/>
                <w:b w:val="0"/>
                <w:color w:val="000000"/>
                <w:sz w:val="20"/>
              </w:rPr>
              <w:t>Trong phần mềm [ ]</w:t>
            </w:r>
          </w:p>
        </w:tc>
      </w:tr>
      <w:tr>
        <w:trPr>
          <w:cantSplit/>
        </w:trPr>
        <w:tc>
          <w:tcPr>
            <w:tcW w:type="dxa" w:w="2203"/>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Quy trình chứng từ</w:t>
            </w:r>
          </w:p>
        </w:tc>
        <w:tc>
          <w:tcPr>
            <w:tcW w:type="dxa" w:w="450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Quy trình mua bán, thu chi, phê duyệt và lưu trữ</w:t>
            </w:r>
          </w:p>
        </w:tc>
        <w:tc>
          <w:tcPr>
            <w:tcW w:type="dxa" w:w="3053"/>
            <w:vAlign w:val="center"/>
            <w:tcMar>
              <w:top w:w="80" w:type="dxa"/>
              <w:bottom w:w="80" w:type="dxa"/>
              <w:left w:w="105" w:type="dxa"/>
              <w:right w:w="105" w:type="dxa"/>
            </w:tcMar>
            <w:shd w:fill="F3F6F8"/>
          </w:tcPr>
          <w:p>
            <w:pPr>
              <w:spacing w:after="20" w:line="269" w:lineRule="auto"/>
              <w:jc w:val="left"/>
            </w:pPr>
            <w:r>
              <w:rPr>
                <w:rFonts w:ascii="Noto Serif" w:hAnsi="Noto Serif" w:eastAsia="Noto Serif" w:cs="Noto Serif"/>
                <w:b w:val="0"/>
                <w:color w:val="000000"/>
                <w:sz w:val="20"/>
              </w:rPr>
              <w:t>Kèm phân quyền và biểu mẫu</w:t>
            </w:r>
          </w:p>
        </w:tc>
      </w:tr>
      <w:tr>
        <w:trPr>
          <w:cantSplit/>
        </w:trPr>
        <w:tc>
          <w:tcPr>
            <w:tcW w:type="dxa" w:w="2203"/>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Hồ sơ mở đầu</w:t>
            </w:r>
          </w:p>
        </w:tc>
        <w:tc>
          <w:tcPr>
            <w:tcW w:type="dxa" w:w="450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Biên bản số dư, danh mục góp vốn, tài sản và nghĩa vụ ban đầu</w:t>
            </w:r>
          </w:p>
        </w:tc>
        <w:tc>
          <w:tcPr>
            <w:tcW w:type="dxa" w:w="3053"/>
            <w:vAlign w:val="center"/>
            <w:tcMar>
              <w:top w:w="80" w:type="dxa"/>
              <w:bottom w:w="80" w:type="dxa"/>
              <w:left w:w="105" w:type="dxa"/>
              <w:right w:w="105" w:type="dxa"/>
            </w:tcMar>
            <w:shd w:fill="FFFFFF"/>
          </w:tcPr>
          <w:p>
            <w:pPr>
              <w:spacing w:after="20" w:line="269" w:lineRule="auto"/>
              <w:jc w:val="left"/>
            </w:pPr>
            <w:r>
              <w:rPr>
                <w:rFonts w:ascii="Noto Serif" w:hAnsi="Noto Serif" w:eastAsia="Noto Serif" w:cs="Noto Serif"/>
                <w:b w:val="0"/>
                <w:color w:val="000000"/>
                <w:sz w:val="20"/>
              </w:rPr>
              <w:t>Theo bằng chứng do A cung cấp</w:t>
            </w:r>
          </w:p>
        </w:tc>
      </w:tr>
      <w:tr>
        <w:trPr>
          <w:cantSplit/>
        </w:trPr>
        <w:tc>
          <w:tcPr>
            <w:tcW w:type="dxa" w:w="2203"/>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Hướng dẫn và chuyển giao</w:t>
            </w:r>
          </w:p>
        </w:tc>
        <w:tc>
          <w:tcPr>
            <w:tcW w:type="dxa" w:w="450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 ] buổi hướng dẫn, tài liệu sử dụng và bản sao dữ liệu</w:t>
            </w:r>
          </w:p>
        </w:tc>
        <w:tc>
          <w:tcPr>
            <w:tcW w:type="dxa" w:w="3053"/>
            <w:vAlign w:val="center"/>
            <w:tcMar>
              <w:top w:w="80" w:type="dxa"/>
              <w:bottom w:w="80" w:type="dxa"/>
              <w:left w:w="105" w:type="dxa"/>
              <w:right w:w="105" w:type="dxa"/>
            </w:tcMar>
            <w:shd w:fill="F3F6F8"/>
          </w:tcPr>
          <w:p>
            <w:pPr>
              <w:spacing w:after="20" w:line="269" w:lineRule="auto"/>
              <w:jc w:val="left"/>
            </w:pPr>
            <w:r>
              <w:rPr>
                <w:rFonts w:ascii="Noto Serif" w:hAnsi="Noto Serif" w:eastAsia="Noto Serif" w:cs="Noto Serif"/>
                <w:b w:val="0"/>
                <w:color w:val="000000"/>
                <w:sz w:val="20"/>
              </w:rPr>
              <w:t>Có danh sách người được nhận</w:t>
            </w:r>
          </w:p>
        </w:tc>
      </w:tr>
    </w:tbl>
    <w:p>
      <w:pPr>
        <w:spacing w:after="20" w:before="0"/>
      </w:pPr>
      <w:r>
        <w:rPr>
          <w:rFonts w:ascii="Noto Serif" w:hAnsi="Noto Serif" w:eastAsia="Noto Serif" w:cs="Noto Serif"/>
          <w:b w:val="0"/>
          <w:color w:val="000000"/>
          <w:sz w:val="4"/>
        </w:rPr>
      </w:r>
    </w:p>
    <w:p>
      <w:pPr>
        <w:spacing w:after="60" w:before="0"/>
      </w:pPr>
      <w:r>
        <w:rPr>
          <w:rFonts w:ascii="Noto Serif" w:hAnsi="Noto Serif" w:eastAsia="Noto Serif" w:cs="Noto Serif"/>
          <w:b/>
          <w:color w:val="000000"/>
        </w:rPr>
        <w:t>Ngoài phạm vi đã định giá</w:t>
      </w:r>
    </w:p>
    <w:p>
      <w:pPr>
        <w:spacing w:after="120" w:before="0"/>
      </w:pPr>
      <w:r>
        <w:rPr>
          <w:rFonts w:ascii="Noto Serif" w:hAnsi="Noto Serif" w:eastAsia="Noto Serif" w:cs="Noto Serif"/>
          <w:b w:val="0"/>
          <w:color w:val="000000"/>
        </w:rPr>
        <w:t>Thành lập doanh nghiệp, xin giấy phép kinh doanh chuyên ngành, kiểm toán, vận hành kế toán hàng tháng, mua phần mềm/chữ ký số và thực hiện thủ tục thuế thay A nếu chưa được giao hợp lệ.</w:t>
      </w:r>
    </w:p>
    <w:p>
      <w:pPr>
        <w:spacing w:after="60" w:before="0"/>
      </w:pPr>
      <w:r>
        <w:rPr>
          <w:rFonts w:ascii="Noto Serif" w:hAnsi="Noto Serif" w:eastAsia="Noto Serif" w:cs="Noto Serif"/>
          <w:b/>
          <w:color w:val="000000"/>
        </w:rPr>
        <w:t>Điểm kiểm soát riêng</w:t>
      </w:r>
    </w:p>
    <w:p>
      <w:pPr>
        <w:spacing w:after="120" w:before="0"/>
      </w:pPr>
      <w:r>
        <w:rPr>
          <w:rFonts w:ascii="Noto Serif" w:hAnsi="Noto Serif" w:eastAsia="Noto Serif" w:cs="Noto Serif"/>
          <w:b w:val="0"/>
          <w:color w:val="000000"/>
        </w:rPr>
        <w:t>Danh mục nghĩa vụ ban đầu phải được cập nhật theo thời điểm thành lập thực tế. Không mặc định đưa một khoản phí, lệ phí đã chấm dứt hoặc một thủ tục đã bị bãi bỏ vào gói dịch vụ.</w:t>
      </w:r>
    </w:p>
    <w:p>
      <w:pPr>
        <w:pStyle w:val="Heading1"/>
        <w:spacing w:after="140" w:before="180"/>
      </w:pPr>
      <w:r>
        <w:rPr>
          <w:rFonts w:ascii="Noto Serif" w:hAnsi="Noto Serif" w:eastAsia="Noto Serif" w:cs="Noto Serif"/>
          <w:b/>
          <w:color w:val="000000"/>
        </w:rPr>
        <w:t>Điều 3 Hồ sơ và phối hợp</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3.1. </w:t>
      </w:r>
      <w:r>
        <w:rPr>
          <w:rFonts w:ascii="Noto Serif" w:hAnsi="Noto Serif" w:eastAsia="Noto Serif" w:cs="Noto Serif"/>
          <w:color w:val="000000"/>
        </w:rPr>
        <w:t>Giấy đăng ký doanh nghiệp, điều lệ và hồ sơ góp vốn, thông tin ngành nghề, mô hình bán hàng, tài khoản ngân hàng, nhân sự, phần mềm và chứng từ phát sinh từ ngày thành lập. A chịu trách nhiệm về nguồn gốc, tính đầy đủ và trung thực của hồ sơ; B kiểm tra trong phạm vi chuyên môn, lập danh sách hồ sơ thiếu hoặc bất thường.</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3.2. </w:t>
      </w:r>
      <w:r>
        <w:rPr>
          <w:rFonts w:ascii="Noto Serif" w:hAnsi="Noto Serif" w:eastAsia="Noto Serif" w:cs="Noto Serif"/>
          <w:color w:val="000000"/>
        </w:rPr>
        <w:t>Mỗi lần giao nhận có danh mục, kỳ, số lượng, định dạng và người nhận. Hồ sơ điện tử giữ tệp gốc, dữ liệu có thể đọc và bằng chứng gửi nhận; bản scan không mặc nhiên thay thế bản gốc khi pháp luật yêu cầu.</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3.3. </w:t>
      </w:r>
      <w:r>
        <w:rPr>
          <w:rFonts w:ascii="Noto Serif" w:hAnsi="Noto Serif" w:eastAsia="Noto Serif" w:cs="Noto Serif"/>
          <w:color w:val="000000"/>
        </w:rPr>
        <w:t>B gửi yêu cầu bổ sung qua đầu mối được chỉ định. Nếu thiếu hồ sơ ảnh hưởng tiến độ, hai bên ghi rõ phần bị ảnh hưởng và thời gian xử lý; việc gia hạn hợp đồng không tự gia hạn thời hạn nộp hồ sơ hoặc nộp tiền theo luật.</w:t>
      </w:r>
    </w:p>
    <w:p>
      <w:pPr>
        <w:pStyle w:val="Heading1"/>
        <w:spacing w:after="140" w:before="180"/>
      </w:pPr>
      <w:r>
        <w:rPr>
          <w:rFonts w:ascii="Noto Serif" w:hAnsi="Noto Serif" w:eastAsia="Noto Serif" w:cs="Noto Serif"/>
          <w:b/>
          <w:color w:val="000000"/>
        </w:rPr>
        <w:t>Điều 4 Quy trình thực hiện và nghiệm thu</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4.1. </w:t>
      </w:r>
      <w:r>
        <w:rPr>
          <w:rFonts w:ascii="Noto Serif" w:hAnsi="Noto Serif" w:eastAsia="Noto Serif" w:cs="Noto Serif"/>
          <w:color w:val="000000"/>
        </w:rPr>
        <w:t>B tiếp nhận dữ liệu, kiểm tra, xử lý và gửi dự thảo theo các mốc tại Phụ lục 01. A phê duyệt số liệu và việc ký nộp qua người có thẩm quyền; email xác nhận nghiệp vụ không thay thế chữ ký pháp lý bắt buộc.</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4.2. </w:t>
      </w:r>
      <w:r>
        <w:rPr>
          <w:rFonts w:ascii="Noto Serif" w:hAnsi="Noto Serif" w:eastAsia="Noto Serif" w:cs="Noto Serif"/>
          <w:color w:val="000000"/>
        </w:rPr>
        <w:t>Trong [số] ngày làm việc từ khi nhận đủ sản phẩm, A phản hồi cụ thể nội dung đạt hoặc chưa đạt. B sửa lỗi thuộc trách nhiệm của mình trong [số] ngày làm việc; công việc phát sinh do đổi phạm vi được báo giá trước. Im lặng không được coi là chấp thuận hồ sơ thuế hoặc cho phép ký thay.</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4.3. </w:t>
      </w:r>
      <w:r>
        <w:rPr>
          <w:rFonts w:ascii="Noto Serif" w:hAnsi="Noto Serif" w:eastAsia="Noto Serif" w:cs="Noto Serif"/>
          <w:color w:val="000000"/>
        </w:rPr>
        <w:t>Nghiệm thu bằng biên bản hoặc xác nhận điện tử của người được giao quyền. Tiêu chí gồm đúng danh mục, kỳ, định dạng, đối chiếu và yêu cầu chuyên môn đã thỏa thuận. Nghiệm thu không xóa trách nhiệm sửa lỗi, bồi thường hoặc trách nhiệm bắt buộc theo pháp luật.</w:t>
      </w:r>
    </w:p>
    <w:p>
      <w:pPr>
        <w:pStyle w:val="Heading1"/>
        <w:spacing w:after="140" w:before="180"/>
      </w:pPr>
      <w:r>
        <w:rPr>
          <w:rFonts w:ascii="Noto Serif" w:hAnsi="Noto Serif" w:eastAsia="Noto Serif" w:cs="Noto Serif"/>
          <w:b/>
          <w:color w:val="000000"/>
        </w:rPr>
        <w:t>Điều 5 Giá dịch vụ thanh toán và phát sinh</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203"/>
        <w:gridCol w:w="3744"/>
        <w:gridCol w:w="3816"/>
      </w:tblGrid>
      <w:tr>
        <w:trPr>
          <w:tblHeader/>
          <w:cantSplit/>
        </w:trPr>
        <w:tc>
          <w:tcPr>
            <w:tcW w:type="dxa" w:w="2203"/>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Khoản phí</w:t>
            </w:r>
          </w:p>
        </w:tc>
        <w:tc>
          <w:tcPr>
            <w:tcW w:type="dxa" w:w="3744"/>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Đơn giá hoặc giá gói chưa thuế</w:t>
            </w:r>
          </w:p>
        </w:tc>
        <w:tc>
          <w:tcPr>
            <w:tcW w:type="dxa" w:w="3816"/>
            <w:vAlign w:val="center"/>
            <w:tcMar>
              <w:top w:w="80" w:type="dxa"/>
              <w:bottom w:w="80" w:type="dxa"/>
              <w:left w:w="105" w:type="dxa"/>
              <w:right w:w="105" w:type="dxa"/>
            </w:tcMar>
            <w:shd w:fill="17334B"/>
          </w:tcPr>
          <w:p>
            <w:pPr>
              <w:spacing w:after="20" w:line="269" w:lineRule="auto"/>
              <w:jc w:val="left"/>
            </w:pPr>
            <w:r>
              <w:rPr>
                <w:rFonts w:ascii="Noto Serif" w:hAnsi="Noto Serif" w:eastAsia="Noto Serif" w:cs="Noto Serif"/>
                <w:b/>
                <w:color w:val="FFFFFF"/>
                <w:sz w:val="20"/>
              </w:rPr>
              <w:t>Khối lượng và số tiền</w:t>
            </w:r>
          </w:p>
        </w:tc>
      </w:tr>
      <w:tr>
        <w:trPr>
          <w:cantSplit/>
        </w:trPr>
        <w:tc>
          <w:tcPr>
            <w:tcW w:type="dxa" w:w="2203"/>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Phí dịch vụ chính</w:t>
            </w:r>
          </w:p>
        </w:tc>
        <w:tc>
          <w:tcPr>
            <w:tcW w:type="dxa" w:w="3744"/>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[số tiền] VND/gói</w:t>
            </w:r>
          </w:p>
        </w:tc>
        <w:tc>
          <w:tcPr>
            <w:tcW w:type="dxa" w:w="3816"/>
            <w:vAlign w:val="center"/>
            <w:tcMar>
              <w:top w:w="80" w:type="dxa"/>
              <w:bottom w:w="80" w:type="dxa"/>
              <w:left w:w="105" w:type="dxa"/>
              <w:right w:w="105" w:type="dxa"/>
            </w:tcMar>
            <w:shd w:fill="FFFFFF"/>
          </w:tcPr>
          <w:p>
            <w:pPr>
              <w:spacing w:after="20" w:line="269" w:lineRule="auto"/>
              <w:jc w:val="left"/>
            </w:pPr>
            <w:r>
              <w:rPr>
                <w:rFonts w:ascii="Noto Serif" w:hAnsi="Noto Serif" w:eastAsia="Noto Serif" w:cs="Noto Serif"/>
                <w:b w:val="0"/>
                <w:color w:val="000000"/>
                <w:sz w:val="20"/>
              </w:rPr>
              <w:t>[số lượng] × [đơn giá] = [số tiền] VND</w:t>
            </w:r>
          </w:p>
        </w:tc>
      </w:tr>
      <w:tr>
        <w:trPr>
          <w:cantSplit/>
        </w:trPr>
        <w:tc>
          <w:tcPr>
            <w:tcW w:type="dxa" w:w="2203"/>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Hạng mục chọn thêm</w:t>
            </w:r>
          </w:p>
        </w:tc>
        <w:tc>
          <w:tcPr>
            <w:tcW w:type="dxa" w:w="3744"/>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[tên hạng mục và đơn giá]</w:t>
            </w:r>
          </w:p>
        </w:tc>
        <w:tc>
          <w:tcPr>
            <w:tcW w:type="dxa" w:w="3816"/>
            <w:vAlign w:val="center"/>
            <w:tcMar>
              <w:top w:w="80" w:type="dxa"/>
              <w:bottom w:w="80" w:type="dxa"/>
              <w:left w:w="105" w:type="dxa"/>
              <w:right w:w="105" w:type="dxa"/>
            </w:tcMar>
            <w:shd w:fill="F3F6F8"/>
          </w:tcPr>
          <w:p>
            <w:pPr>
              <w:spacing w:after="20" w:line="269" w:lineRule="auto"/>
              <w:jc w:val="left"/>
            </w:pPr>
            <w:r>
              <w:rPr>
                <w:rFonts w:ascii="Noto Serif" w:hAnsi="Noto Serif" w:eastAsia="Noto Serif" w:cs="Noto Serif"/>
                <w:b w:val="0"/>
                <w:color w:val="000000"/>
                <w:sz w:val="20"/>
              </w:rPr>
              <w:t>[khối lượng] = [số tiền] VND</w:t>
            </w:r>
          </w:p>
        </w:tc>
      </w:tr>
      <w:tr>
        <w:trPr>
          <w:cantSplit/>
        </w:trPr>
        <w:tc>
          <w:tcPr>
            <w:tcW w:type="dxa" w:w="2203"/>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Thuế và tổng thanh toán</w:t>
            </w:r>
          </w:p>
        </w:tc>
        <w:tc>
          <w:tcPr>
            <w:tcW w:type="dxa" w:w="3744"/>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Thuế GTGT [thuế suất/cách tính hợp lệ]</w:t>
            </w:r>
          </w:p>
        </w:tc>
        <w:tc>
          <w:tcPr>
            <w:tcW w:type="dxa" w:w="3816"/>
            <w:vAlign w:val="center"/>
            <w:tcMar>
              <w:top w:w="80" w:type="dxa"/>
              <w:bottom w:w="80" w:type="dxa"/>
              <w:left w:w="105" w:type="dxa"/>
              <w:right w:w="105" w:type="dxa"/>
            </w:tcMar>
            <w:shd w:fill="FFFFFF"/>
          </w:tcPr>
          <w:p>
            <w:pPr>
              <w:spacing w:after="20" w:line="269" w:lineRule="auto"/>
              <w:jc w:val="left"/>
            </w:pPr>
            <w:r>
              <w:rPr>
                <w:rFonts w:ascii="Noto Serif" w:hAnsi="Noto Serif" w:eastAsia="Noto Serif" w:cs="Noto Serif"/>
                <w:b w:val="0"/>
                <w:color w:val="000000"/>
                <w:sz w:val="20"/>
              </w:rPr>
              <w:t>Thuế [số tiền]; tổng [số tiền] VND</w:t>
            </w:r>
          </w:p>
        </w:tc>
      </w:tr>
    </w:tbl>
    <w:p>
      <w:pPr>
        <w:spacing w:after="20" w:before="0"/>
      </w:pPr>
      <w:r>
        <w:rPr>
          <w:rFonts w:ascii="Noto Serif" w:hAnsi="Noto Serif" w:eastAsia="Noto Serif" w:cs="Noto Serif"/>
          <w:b w:val="0"/>
          <w:color w:val="000000"/>
          <w:sz w:val="4"/>
        </w:rPr>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5.1. </w:t>
      </w:r>
      <w:r>
        <w:rPr>
          <w:rFonts w:ascii="Noto Serif" w:hAnsi="Noto Serif" w:eastAsia="Noto Serif" w:cs="Noto Serif"/>
          <w:color w:val="000000"/>
        </w:rPr>
        <w:t>Giá trị bằng chữ [bằng chữ]. Thuế và thời điểm lập hóa đơn áp dụng theo quy định tại thời điểm phát sinh; thỏa thuận thanh toán không được dùng để trì hoãn lập hóa đơn trái luật. Chi phí phần mềm, chữ ký số, đi lại hoặc lệ phí chỉ thu riêng nếu được A chấp thuận trước bằng văn bản.</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5.2. </w:t>
      </w:r>
      <w:r>
        <w:rPr>
          <w:rFonts w:ascii="Noto Serif" w:hAnsi="Noto Serif" w:eastAsia="Noto Serif" w:cs="Noto Serif"/>
          <w:color w:val="000000"/>
        </w:rPr>
        <w:t>Đợt đầu [số tiền hoặc tỷ lệ] khi [mốc]; đợt tiếp [số tiền hoặc tỷ lệ] khi [mốc]; phần còn lại [số tiền] trong [số] ngày sau nghiệm thu. Thanh toán chuyển khoản vào tài khoản [số tài khoản tên chủ tài khoản ngân hàng] của B; thay đổi tài khoản phải được kiểm chứng qua đầu mối chính thức.</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5.3. </w:t>
      </w:r>
      <w:r>
        <w:rPr>
          <w:rFonts w:ascii="Noto Serif" w:hAnsi="Noto Serif" w:eastAsia="Noto Serif" w:cs="Noto Serif"/>
          <w:color w:val="000000"/>
        </w:rPr>
        <w:t>Vượt giới hạn khối lượng, bổ sung kỳ cũ hoặc yêu cầu ngoài phạm vi chỉ được thực hiện sau khi hai bên chấp thuận phụ lục về giá và tiến độ. Không tự tính phí bổ sung theo một bảng giá chưa được A đồng ý.</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5.4. </w:t>
      </w:r>
      <w:r>
        <w:rPr>
          <w:rFonts w:ascii="Noto Serif" w:hAnsi="Noto Serif" w:eastAsia="Noto Serif" w:cs="Noto Serif"/>
          <w:color w:val="000000"/>
        </w:rPr>
        <w:t>A trực tiếp nộp thuế, bảo hiểm và các khoản phải trả của mình. Lãi chậm thanh toán phí dịch vụ theo thỏa thuận [mức và cách tính hợp pháp]; nếu không có thỏa thuận thì theo quy định pháp luật áp dụng. Phần phí không tranh chấp vẫn được thanh toán đúng hạn.</w:t>
      </w:r>
    </w:p>
    <w:p>
      <w:pPr>
        <w:pStyle w:val="Heading1"/>
        <w:spacing w:after="140" w:before="180"/>
      </w:pPr>
      <w:r>
        <w:rPr>
          <w:rFonts w:ascii="Noto Serif" w:hAnsi="Noto Serif" w:eastAsia="Noto Serif" w:cs="Noto Serif"/>
          <w:b/>
          <w:color w:val="000000"/>
        </w:rPr>
        <w:t>Điều 6 Quyền trách nhiệm và xử lý sai sót</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6.1. </w:t>
      </w:r>
      <w:r>
        <w:rPr>
          <w:rFonts w:ascii="Noto Serif" w:hAnsi="Noto Serif" w:eastAsia="Noto Serif" w:cs="Noto Serif"/>
          <w:color w:val="000000"/>
        </w:rPr>
        <w:t>A cung cấp hồ sơ, quyết định chính sách thuộc thẩm quyền, bố trí đầu mối và phê duyệt kịp thời. Người đại diện theo pháp luật của A tiếp tục thực hiện trách nhiệm của đơn vị kế toán và người nộp thuế theo luật; thuê dịch vụ không chuyển toàn bộ nghĩa vụ pháp lý cho B.</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6.2. </w:t>
      </w:r>
      <w:r>
        <w:rPr>
          <w:rFonts w:ascii="Noto Serif" w:hAnsi="Noto Serif" w:eastAsia="Noto Serif" w:cs="Noto Serif"/>
          <w:color w:val="000000"/>
        </w:rPr>
        <w:t>B bố trí người đủ năng lực, kiểm soát chất lượng, cảnh báo bằng văn bản về sai lệch và bảo lưu ý kiến chuyên môn. B được từ chối chỉ dẫn trái pháp luật hoặc yêu cầu làm sai chứng từ, đồng thời thông báo ảnh hưởng đến công việc đang thực hiện.</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6.3. </w:t>
      </w:r>
      <w:r>
        <w:rPr>
          <w:rFonts w:ascii="Noto Serif" w:hAnsi="Noto Serif" w:eastAsia="Noto Serif" w:cs="Noto Serif"/>
          <w:color w:val="000000"/>
        </w:rPr>
        <w:t>Khi phát hiện lỗi do mình gây ra, B thông báo ngay, lập phương án khắc phục và sửa trong thời hạn hai bên ghi nhận, không thu thêm phí sửa lỗi đó. B chịu trách nhiệm và bồi thường thiệt hại do mình gây ra theo pháp luật; việc A cung cấp hồ sơ không loại trừ nghĩa vụ kiểm tra và cảnh báo của B.</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6.4. </w:t>
      </w:r>
      <w:r>
        <w:rPr>
          <w:rFonts w:ascii="Noto Serif" w:hAnsi="Noto Serif" w:eastAsia="Noto Serif" w:cs="Noto Serif"/>
          <w:color w:val="000000"/>
        </w:rPr>
        <w:t>Tiền thuế hoặc bảo hiểm vốn phải nộp của A được phân biệt với thiệt hại do lỗi dịch vụ. Tiền phạt, tiền chậm nộp hoặc chi phí khắc phục được xem xét theo hành vi, chứng cứ, quan hệ nhân quả và phần trách nhiệm của mỗi bên. Thỏa thuận không thay đổi chủ thể bị cơ quan nhà nước xử lý.</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6.5. </w:t>
      </w:r>
      <w:r>
        <w:rPr>
          <w:rFonts w:ascii="Noto Serif" w:hAnsi="Noto Serif" w:eastAsia="Noto Serif" w:cs="Noto Serif"/>
          <w:color w:val="000000"/>
        </w:rPr>
        <w:t>Phạt vi phạm chỉ áp dụng nếu hai bên thỏa thuận mức [tỷ lệ]% giá trị phần nghĩa vụ bị vi phạm; khi Luật Thương mại áp dụng, tổng mức phạt không vượt giới hạn 8% của phần nghĩa vụ bị vi phạm theo Điều 301. Bồi thường và biện pháp khắc phục thực hiện theo luật; không mặc định giới hạn bồi thường bằng phí dịch vụ.</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6.6. </w:t>
      </w:r>
      <w:r>
        <w:rPr>
          <w:rFonts w:ascii="Noto Serif" w:hAnsi="Noto Serif" w:eastAsia="Noto Serif" w:cs="Noto Serif"/>
          <w:color w:val="000000"/>
        </w:rPr>
        <w:t>B duy trì bảo hiểm trách nhiệm nghề nghiệp khi pháp luật yêu cầu và cung cấp thông tin hợp đồng bảo hiểm [số đơn vị hạn bảo hiểm] cho A. Việc mua bảo hiểm không miễn trách nhiệm đối với công việc đã thực hiện.</w:t>
      </w:r>
    </w:p>
    <w:p>
      <w:pPr>
        <w:pStyle w:val="Heading1"/>
        <w:spacing w:after="140" w:before="180"/>
      </w:pPr>
      <w:r>
        <w:rPr>
          <w:rFonts w:ascii="Noto Serif" w:hAnsi="Noto Serif" w:eastAsia="Noto Serif" w:cs="Noto Serif"/>
          <w:b/>
          <w:color w:val="000000"/>
        </w:rPr>
        <w:t>Điều 7 Bảo mật dữ liệu và tài khoản điện tử</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7.1. </w:t>
      </w:r>
      <w:r>
        <w:rPr>
          <w:rFonts w:ascii="Noto Serif" w:hAnsi="Noto Serif" w:eastAsia="Noto Serif" w:cs="Noto Serif"/>
          <w:color w:val="000000"/>
        </w:rPr>
        <w:t>Hai bên bảo mật thông tin kinh doanh và dữ liệu cá nhân; chỉ sử dụng để thực hiện hợp đồng hoặc nghĩa vụ luật định. A xác định căn cứ xử lý hợp pháp và thông báo cho chủ thể dữ liệu khi cần. B chỉ tiếp nhận dữ liệu cá nhân sau khi có thỏa thuận xử lý; vai trò, mục đích và hạn lưu ghi tại Phụ lục 01.</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7.2. </w:t>
      </w:r>
      <w:r>
        <w:rPr>
          <w:rFonts w:ascii="Noto Serif" w:hAnsi="Noto Serif" w:eastAsia="Noto Serif" w:cs="Noto Serif"/>
          <w:color w:val="000000"/>
        </w:rPr>
        <w:t>B phân quyền theo người thực hiện, ghi nhận truy cập, bảo vệ tệp khi truyền/lưu và sao lưu có kiểm soát. Nhà thầu phụ, dịch vụ lưu trữ hoặc việc chuyển dữ liệu ra nước ngoài chỉ được sử dụng sau khi A chấp thuận và các bên hoàn thành điều kiện pháp luật tương ứng; không được dùng dữ liệu để tiếp thị hoặc mục đích khác.</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7.3. </w:t>
      </w:r>
      <w:r>
        <w:rPr>
          <w:rFonts w:ascii="Noto Serif" w:hAnsi="Noto Serif" w:eastAsia="Noto Serif" w:cs="Noto Serif"/>
          <w:color w:val="000000"/>
        </w:rPr>
        <w:t>Chữ ký số, mật khẩu và quyền giao dịch được quản lý theo phân quyền riêng, ưu tiên tài khoản được ủy quyền có thể thu hồi. Không coi bàn giao hồ sơ là giao toàn quyền sử dụng chữ ký số. Mọi thao tác ký, gửi, nộp tiền phải có căn cứ giao quyền và bằng chứng đối chiếu.</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7.4. </w:t>
      </w:r>
      <w:r>
        <w:rPr>
          <w:rFonts w:ascii="Noto Serif" w:hAnsi="Noto Serif" w:eastAsia="Noto Serif" w:cs="Noto Serif"/>
          <w:color w:val="000000"/>
        </w:rPr>
        <w:t>Khi phát hiện sự cố, B thông báo ngay cho đầu mối A, cô lập nguy cơ, giữ nhật ký và phối hợp khắc phục. Hai bên thực hiện thông báo cho cơ quan có thẩm quyền và chủ thể dữ liệu khi thuộc trường hợp luật định, trong thời hạn luật yêu cầu; lịch báo cáo nội bộ không làm kéo dài thời hạn đó.</w:t>
      </w:r>
    </w:p>
    <w:p>
      <w:pPr>
        <w:pStyle w:val="Heading1"/>
        <w:spacing w:after="140" w:before="180"/>
      </w:pPr>
      <w:r>
        <w:rPr>
          <w:rFonts w:ascii="Noto Serif" w:hAnsi="Noto Serif" w:eastAsia="Noto Serif" w:cs="Noto Serif"/>
          <w:b/>
          <w:color w:val="000000"/>
        </w:rPr>
        <w:t>Điều 8 Tạm dừng chấm dứt và bàn giao</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8.1. </w:t>
      </w:r>
      <w:r>
        <w:rPr>
          <w:rFonts w:ascii="Noto Serif" w:hAnsi="Noto Serif" w:eastAsia="Noto Serif" w:cs="Noto Serif"/>
          <w:color w:val="000000"/>
        </w:rPr>
        <w:t>Bên bị vi phạm gửi thông báo nêu hành vi, bằng chứng, yêu cầu khắc phục và thời hạn [số] ngày làm việc. Nếu vi phạm không được khắc phục hoặc có căn cứ luật định, bên có quyền được tạm dừng/chấm dứt và phải thông báo hợp lệ. Trường hợp B mất điều kiện hành nghề hoặc có yêu cầu thực hiện việc trái luật phải xử lý ngay phần bị ảnh hưởng.</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8.2. </w:t>
      </w:r>
      <w:r>
        <w:rPr>
          <w:rFonts w:ascii="Noto Serif" w:hAnsi="Noto Serif" w:eastAsia="Noto Serif" w:cs="Noto Serif"/>
          <w:color w:val="000000"/>
        </w:rPr>
        <w:t>Một bên muốn kết thúc trước hạn vì nhu cầu của mình báo trước [số] ngày và thanh toán phần công việc thực tế đã nghiệm thu; việc đơn phương phải có căn cứ phù hợp pháp luật. Hoàn lại phí cho phần chưa thực hiện sau khi đối chiếu; thiệt hại và chi phí hợp lý do chấm dứt trái pháp luật được xử lý riêng.</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8.3. </w:t>
      </w:r>
      <w:r>
        <w:rPr>
          <w:rFonts w:ascii="Noto Serif" w:hAnsi="Noto Serif" w:eastAsia="Noto Serif" w:cs="Noto Serif"/>
          <w:color w:val="000000"/>
        </w:rPr>
        <w:t>Bàn giao trong [số] ngày làm việc: hồ sơ gốc đang giữ, sổ, tệp có thể chỉnh sửa, bản sao dữ liệu, thông báo cơ quan nhà nước, lịch nghĩa vụ chưa hoàn thành và danh mục tồn đọng. Hai bên ký biên bản, thu hồi quyền truy cập và xác nhận vị trí lưu trữ; không giữ hồ sơ gốc để gây cản trở nghĩa vụ luật định của A.</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8.4. </w:t>
      </w:r>
      <w:r>
        <w:rPr>
          <w:rFonts w:ascii="Noto Serif" w:hAnsi="Noto Serif" w:eastAsia="Noto Serif" w:cs="Noto Serif"/>
          <w:color w:val="000000"/>
        </w:rPr>
        <w:t>Dữ liệu và sản phẩm riêng của A được trả cho A. Công cụ, phần mềm và giấy phép của bên thứ ba theo quyền sử dụng tương ứng. B chỉ giữ bản cần cho nghĩa vụ pháp luật hoặc giải quyết tranh chấp, hạn chế truy cập, nêu căn cứ và hạn lưu; xóa/trả các bản còn lại theo lịch thống nhất. Nghĩa vụ bảo mật tiếp tục sau khi hợp đồng kết thúc.</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8.5. </w:t>
      </w:r>
      <w:r>
        <w:rPr>
          <w:rFonts w:ascii="Noto Serif" w:hAnsi="Noto Serif" w:eastAsia="Noto Serif" w:cs="Noto Serif"/>
          <w:color w:val="000000"/>
        </w:rPr>
        <w:t>Bên gặp sự kiện bất khả kháng thông báo kịp thời, cung cấp bằng chứng, hạn chế thiệt hại và cùng thống nhất phương án tiếp tục. Sự kiện không tự miễn mọi nghĩa vụ hoặc kéo dài hạn thuế/bảo hiểm; hai bên thực hiện đúng thủ tục gia hạn, xử lý sự cố theo luật nếu đủ điều kiện.</w:t>
      </w:r>
    </w:p>
    <w:p>
      <w:pPr>
        <w:pStyle w:val="Heading1"/>
        <w:spacing w:after="140" w:before="180"/>
      </w:pPr>
      <w:r>
        <w:rPr>
          <w:rFonts w:ascii="Noto Serif" w:hAnsi="Noto Serif" w:eastAsia="Noto Serif" w:cs="Noto Serif"/>
          <w:b/>
          <w:color w:val="000000"/>
        </w:rPr>
        <w:t>Điều 9 Thông báo tranh chấp và hiệu lực</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9.1. </w:t>
      </w:r>
      <w:r>
        <w:rPr>
          <w:rFonts w:ascii="Noto Serif" w:hAnsi="Noto Serif" w:eastAsia="Noto Serif" w:cs="Noto Serif"/>
          <w:color w:val="000000"/>
        </w:rPr>
        <w:t>Thông báo gửi đến địa chỉ/email đầu mối ở đầu hợp đồng, có bằng chứng gửi nhận. Thay đổi giá, phạm vi, người ký hoặc điều kiện chính phải được người có thẩm quyền hai bên chấp thuận bằng văn bản hoặc thông điệp dữ liệu đáp ứng luật giao dịch điện tử.</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9.2. </w:t>
      </w:r>
      <w:r>
        <w:rPr>
          <w:rFonts w:ascii="Noto Serif" w:hAnsi="Noto Serif" w:eastAsia="Noto Serif" w:cs="Noto Serif"/>
          <w:color w:val="000000"/>
        </w:rPr>
        <w:t>Hợp đồng áp dụng pháp luật Việt Nam. Hai bên thương lượng trong [số] ngày kể từ thông báo tranh chấp; nếu không giải quyết được thì khởi kiện tại Tòa án có thẩm quyền theo pháp luật. Nếu chọn trọng tài, các bên ký thỏa thuận trọng tài riêng hợp lệ, xác định rõ tổ chức và phạm vi tranh chấp.</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9.3. </w:t>
      </w:r>
      <w:r>
        <w:rPr>
          <w:rFonts w:ascii="Noto Serif" w:hAnsi="Noto Serif" w:eastAsia="Noto Serif" w:cs="Noto Serif"/>
          <w:color w:val="000000"/>
        </w:rPr>
        <w:t>Hợp đồng có hiệu lực từ [ngày hoặc điều kiện]. Phụ lục 01 và Phụ lục 02 là bộ phận của hợp đồng; thay đổi cụ thể được ký sau chỉ sửa nội dung được nêu rõ. Điều khoản trái quy định bắt buộc được xử lý theo pháp luật, không mặc nhiên làm vô hiệu các phần độc lập còn lại.</w:t>
      </w:r>
    </w:p>
    <w:p>
      <w:pPr>
        <w:keepNext/>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9.4. </w:t>
      </w:r>
      <w:r>
        <w:rPr>
          <w:rFonts w:ascii="Noto Serif" w:hAnsi="Noto Serif" w:eastAsia="Noto Serif" w:cs="Noto Serif"/>
          <w:color w:val="000000"/>
        </w:rPr>
        <w:t>Hợp đồng được ký thành [số] bản, mỗi bên giữ [số] bản, hoặc ký điện tử hợp lệ. Người ký xác nhận đúng thẩm quyền; đóng dấu khi pháp luật hoặc thỏa thuận hợp lệ yêu cầu. Các bên đã đọc và thống nhất nội dung trước khi ký.</w:t>
      </w:r>
    </w:p>
    <w:p>
      <w:pPr>
        <w:keepNext/>
        <w:tabs>
          <w:tab w:pos="5184" w:val="left"/>
        </w:tabs>
        <w:spacing w:after="80" w:before="260"/>
      </w:pPr>
      <w:r>
        <w:rPr>
          <w:rFonts w:ascii="Noto Serif" w:hAnsi="Noto Serif" w:eastAsia="Noto Serif" w:cs="Noto Serif"/>
          <w:b/>
          <w:color w:val="000000"/>
        </w:rPr>
        <w:t>ĐẠI DIỆN BÊN A</w:t>
        <w:tab/>
        <w:t>ĐẠI DIỆN BÊN B</w:t>
      </w:r>
    </w:p>
    <w:p>
      <w:pPr>
        <w:keepNext/>
        <w:tabs>
          <w:tab w:pos="5184" w:val="left"/>
        </w:tabs>
        <w:spacing w:after="960" w:before="0"/>
      </w:pPr>
      <w:r>
        <w:rPr>
          <w:rFonts w:ascii="Noto Serif" w:hAnsi="Noto Serif" w:eastAsia="Noto Serif" w:cs="Noto Serif"/>
          <w:b w:val="0"/>
          <w:color w:val="000000"/>
          <w:sz w:val="19"/>
        </w:rPr>
        <w:t>Ký và ghi rõ họ tên chức vụ</w:t>
        <w:tab/>
        <w:t>Ký và ghi rõ họ tên chức vụ</w:t>
      </w:r>
    </w:p>
    <w:p>
      <w:pPr>
        <w:tabs>
          <w:tab w:pos="5184" w:val="left"/>
        </w:tabs>
        <w:spacing w:after="0" w:before="0"/>
      </w:pPr>
      <w:r>
        <w:rPr>
          <w:rFonts w:ascii="Noto Serif" w:hAnsi="Noto Serif" w:eastAsia="Noto Serif" w:cs="Noto Serif"/>
          <w:b w:val="0"/>
          <w:color w:val="000000"/>
          <w:sz w:val="20"/>
        </w:rPr>
        <w:t>Họ tên [ ]</w:t>
        <w:tab/>
        <w:t>Họ tên [ ]</w:t>
      </w:r>
    </w:p>
    <w:p>
      <w:r>
        <w:br w:type="page"/>
      </w:r>
    </w:p>
    <w:p>
      <w:pPr>
        <w:pStyle w:val="Heading1"/>
        <w:spacing w:after="140" w:before="180"/>
      </w:pPr>
      <w:r>
        <w:rPr>
          <w:rFonts w:ascii="Noto Serif" w:hAnsi="Noto Serif" w:eastAsia="Noto Serif" w:cs="Noto Serif"/>
          <w:b/>
          <w:color w:val="000000"/>
        </w:rPr>
        <w:t>Phụ lục 01 Thông số phạm vi và lịch thực hiện</w:t>
      </w:r>
    </w:p>
    <w:p>
      <w:pPr>
        <w:spacing w:after="120" w:before="0"/>
      </w:pPr>
      <w:r>
        <w:rPr>
          <w:rFonts w:ascii="Noto Serif" w:hAnsi="Noto Serif" w:eastAsia="Noto Serif" w:cs="Noto Serif"/>
          <w:b w:val="0"/>
          <w:color w:val="000000"/>
          <w:sz w:val="20"/>
        </w:rPr>
        <w:t>Kèm Hợp đồng số [số] ngày [ngày]. Hai bên điền đầy đủ và ký xác nhận phụ lục trước khi bắt đầu công việc. Các mốc dưới đây là mốc thỏa thuận; phải sớm hơn hạn luật định liên quan.</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096"/>
        <w:gridCol w:w="6667"/>
      </w:tblGrid>
      <w:tr>
        <w:trPr>
          <w:tblHeader/>
          <w:cantSplit/>
        </w:trPr>
        <w:tc>
          <w:tcPr>
            <w:tcW w:type="dxa" w:w="3096"/>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Thông số cần thống nhất</w:t>
            </w:r>
          </w:p>
        </w:tc>
        <w:tc>
          <w:tcPr>
            <w:tcW w:type="dxa" w:w="6667"/>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Nội dung điền trước khi ký</w:t>
            </w:r>
          </w:p>
        </w:tc>
      </w:tr>
      <w:tr>
        <w:trPr>
          <w:cantSplit/>
        </w:trPr>
        <w:tc>
          <w:tcPr>
            <w:tcW w:type="dxa" w:w="3096"/>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Ngày thành lập và kỳ đầu</w:t>
            </w:r>
          </w:p>
        </w:tc>
        <w:tc>
          <w:tcPr>
            <w:tcW w:type="dxa" w:w="666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Ngày [ ]; kỳ kế toán đầu tiên từ [ ] đến [ ]</w:t>
            </w:r>
          </w:p>
        </w:tc>
      </w:tr>
      <w:tr>
        <w:trPr>
          <w:cantSplit/>
        </w:trPr>
        <w:tc>
          <w:tcPr>
            <w:tcW w:type="dxa" w:w="3096"/>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Phần mềm và quyền sở hữu</w:t>
            </w:r>
          </w:p>
        </w:tc>
        <w:tc>
          <w:tcPr>
            <w:tcW w:type="dxa" w:w="666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Phần mềm [ ]; bên mua giấy phép [ ]; tài khoản quản trị của A [ ]</w:t>
            </w:r>
          </w:p>
        </w:tc>
      </w:tr>
      <w:tr>
        <w:trPr>
          <w:cantSplit/>
        </w:trPr>
        <w:tc>
          <w:tcPr>
            <w:tcW w:type="dxa" w:w="3096"/>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Phạm vi thiết lập</w:t>
            </w:r>
          </w:p>
        </w:tc>
        <w:tc>
          <w:tcPr>
            <w:tcW w:type="dxa" w:w="666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[số đơn vị/kho/người dùng]; chứng từ quá khứ [ ]</w:t>
            </w:r>
          </w:p>
        </w:tc>
      </w:tr>
      <w:tr>
        <w:trPr>
          <w:cantSplit/>
        </w:trPr>
        <w:tc>
          <w:tcPr>
            <w:tcW w:type="dxa" w:w="3096"/>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Đào tạo chuyển giao</w:t>
            </w:r>
          </w:p>
        </w:tc>
        <w:tc>
          <w:tcPr>
            <w:tcW w:type="dxa" w:w="666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[số buổi]; [số giờ/buổi]; nơi/hình thức [ ]</w:t>
            </w:r>
          </w:p>
        </w:tc>
      </w:tr>
      <w:tr>
        <w:trPr>
          <w:cantSplit/>
        </w:trPr>
        <w:tc>
          <w:tcPr>
            <w:tcW w:type="dxa" w:w="3096"/>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Lịch hồ sơ và phản hồi</w:t>
            </w:r>
          </w:p>
        </w:tc>
        <w:tc>
          <w:tcPr>
            <w:tcW w:type="dxa" w:w="666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A giao đủ [ngày]; B báo thiếu [ngày]; A bổ sung/duyệt [ngày]</w:t>
            </w:r>
          </w:p>
        </w:tc>
      </w:tr>
      <w:tr>
        <w:trPr>
          <w:cantSplit/>
        </w:trPr>
        <w:tc>
          <w:tcPr>
            <w:tcW w:type="dxa" w:w="3096"/>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Lịch sản phẩm và nghiệm thu</w:t>
            </w:r>
          </w:p>
        </w:tc>
        <w:tc>
          <w:tcPr>
            <w:tcW w:type="dxa" w:w="666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B gửi dự thảo [ngày]; A phản hồi [ngày]; bàn giao [ngày]</w:t>
            </w:r>
          </w:p>
        </w:tc>
      </w:tr>
      <w:tr>
        <w:trPr>
          <w:cantSplit/>
        </w:trPr>
        <w:tc>
          <w:tcPr>
            <w:tcW w:type="dxa" w:w="3096"/>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Xử lý dữ liệu cá nhân</w:t>
            </w:r>
          </w:p>
        </w:tc>
        <w:tc>
          <w:tcPr>
            <w:tcW w:type="dxa" w:w="666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A [vai trò]; B [vai trò]; mục đích [ ]; loại dữ liệu/chủ thể [ ]</w:t>
            </w:r>
          </w:p>
        </w:tc>
      </w:tr>
      <w:tr>
        <w:trPr>
          <w:cantSplit/>
        </w:trPr>
        <w:tc>
          <w:tcPr>
            <w:tcW w:type="dxa" w:w="3096"/>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Lưu trữ và bên được truy cập</w:t>
            </w:r>
          </w:p>
        </w:tc>
        <w:tc>
          <w:tcPr>
            <w:tcW w:type="dxa" w:w="666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Nơi lưu [ ]; người được truy cập [ ]; bên phụ trợ [ ]; hạn lưu và xóa [ ]</w:t>
            </w:r>
          </w:p>
        </w:tc>
      </w:tr>
    </w:tbl>
    <w:p>
      <w:pPr>
        <w:spacing w:after="20" w:before="0"/>
      </w:pPr>
      <w:r>
        <w:rPr>
          <w:rFonts w:ascii="Noto Serif" w:hAnsi="Noto Serif" w:eastAsia="Noto Serif" w:cs="Noto Serif"/>
          <w:b w:val="0"/>
          <w:color w:val="000000"/>
          <w:sz w:val="4"/>
        </w:rPr>
      </w:r>
    </w:p>
    <w:p>
      <w:pPr>
        <w:spacing w:after="60" w:before="0"/>
      </w:pPr>
      <w:r>
        <w:rPr>
          <w:rFonts w:ascii="Noto Serif" w:hAnsi="Noto Serif" w:eastAsia="Noto Serif" w:cs="Noto Serif"/>
          <w:b/>
          <w:color w:val="000000"/>
        </w:rPr>
        <w:t>Danh mục bàn giao cuối kỳ</w:t>
      </w:r>
    </w:p>
    <w:p>
      <w:pPr>
        <w:spacing w:after="120" w:before="0"/>
      </w:pPr>
      <w:r>
        <w:rPr>
          <w:rFonts w:ascii="Noto Serif" w:hAnsi="Noto Serif" w:eastAsia="Noto Serif" w:cs="Noto Serif"/>
          <w:b w:val="0"/>
          <w:color w:val="000000"/>
          <w:sz w:val="20"/>
        </w:rPr>
        <w:t>[Tên tài liệu] | [kỳ] | [phiên bản] | [định dạng] | [người nhận] | [ngày nhận]. Kèm bảng tồn đọng, nghĩa vụ chưa đến hạn và quyền truy cập phải thu hồi. Danh mục chi tiết được hai bên lập khi bàn giao.</w:t>
      </w:r>
    </w:p>
    <w:p>
      <w:pPr>
        <w:tabs>
          <w:tab w:pos="5184" w:val="left"/>
        </w:tabs>
        <w:spacing w:after="160" w:before="0"/>
      </w:pPr>
      <w:r>
        <w:rPr>
          <w:rFonts w:ascii="Noto Serif" w:hAnsi="Noto Serif" w:eastAsia="Noto Serif" w:cs="Noto Serif"/>
          <w:b w:val="0"/>
          <w:color w:val="000000"/>
          <w:sz w:val="18"/>
        </w:rPr>
        <w:t>Xác nhận Bên A [họ tên ngày ký]</w:t>
        <w:tab/>
        <w:t>Xác nhận Bên B [họ tên ngày ký]</w:t>
      </w:r>
    </w:p>
    <w:p>
      <w:pPr>
        <w:pStyle w:val="Heading1"/>
        <w:spacing w:after="140" w:before="180"/>
      </w:pPr>
      <w:r>
        <w:rPr>
          <w:rFonts w:ascii="Noto Serif" w:hAnsi="Noto Serif" w:eastAsia="Noto Serif" w:cs="Noto Serif"/>
          <w:b/>
          <w:color w:val="000000"/>
        </w:rPr>
        <w:t>Phụ lục 02 Căn cứ và lưu ý khi sử dụng</w:t>
      </w:r>
    </w:p>
    <w:p>
      <w:pPr>
        <w:spacing w:after="120" w:before="0"/>
      </w:pPr>
      <w:r>
        <w:rPr>
          <w:rFonts w:ascii="Noto Serif" w:hAnsi="Noto Serif" w:eastAsia="Noto Serif" w:cs="Noto Serif"/>
          <w:b w:val="0"/>
          <w:color w:val="000000"/>
          <w:sz w:val="18"/>
        </w:rPr>
        <w:t>Chốt đối chiếu 12/10/2026. Mẫu không thay thế việc kiểm tra tư cách bên cung cấp, dữ liệu của doanh nghiệp, pháp luật tại kỳ phát sinh và ngày ký thực tế. Ô trống về mức phí, ngày, khối lượng là nội dung các bên phải thỏa thuận.</w:t>
      </w:r>
    </w:p>
    <w:p>
      <w:pPr>
        <w:spacing w:after="120" w:before="0"/>
      </w:pPr>
      <w:r>
        <w:rPr>
          <w:rFonts w:ascii="Noto Serif" w:hAnsi="Noto Serif" w:eastAsia="Noto Serif" w:cs="Noto Serif"/>
          <w:b w:val="0"/>
          <w:color w:val="000000"/>
          <w:sz w:val="18"/>
        </w:rPr>
        <w:t>Chọn chế độ kế toán đúng đối tượng và năm tài chính. Thông tư 99/2025/TT-BTC áp dụng cho năm tài chính bắt đầu từ hoặc sau 01/01/2026; không tự đổi chế độ của kỳ cũ. Doanh nghiệp nhỏ hoặc siêu nhỏ kiểm tra chế độ riêng phù hợp trước khi chọn.</w:t>
      </w:r>
    </w:p>
    <w:p>
      <w:pPr>
        <w:spacing w:after="60" w:line="252" w:lineRule="auto"/>
      </w:pPr>
      <w:hyperlink r:id="rId11">
        <w:r>
          <w:rPr>
            <w:sz w:val="18"/>
            <w:color w:val="000000"/>
          </w:rPr>
          <w:t>Bộ luật Dân sự 91/2015/QH13 quy định về hợp đồng dịch vụ</w:t>
        </w:r>
      </w:hyperlink>
    </w:p>
    <w:p>
      <w:pPr>
        <w:spacing w:after="60" w:line="252" w:lineRule="auto"/>
      </w:pPr>
      <w:hyperlink r:id="rId12">
        <w:r>
          <w:rPr>
            <w:sz w:val="18"/>
            <w:color w:val="000000"/>
          </w:rPr>
          <w:t>Luật Kế toán đã sửa đổi đối chiếu VBHN 41 ngày 16/03/2026 Điều 56 58 67 68 70a</w:t>
        </w:r>
      </w:hyperlink>
    </w:p>
    <w:p>
      <w:pPr>
        <w:spacing w:after="60" w:line="252" w:lineRule="auto"/>
      </w:pPr>
      <w:hyperlink r:id="rId13">
        <w:r>
          <w:rPr>
            <w:sz w:val="18"/>
            <w:color w:val="000000"/>
          </w:rPr>
          <w:t>Luật Quản lý thuế 108/2025/QH15 Điều 40 và Điều 51 có hiệu lực 01/07/2026</w:t>
        </w:r>
      </w:hyperlink>
    </w:p>
    <w:p>
      <w:pPr>
        <w:spacing w:after="60" w:line="252" w:lineRule="auto"/>
      </w:pPr>
      <w:hyperlink r:id="rId14">
        <w:r>
          <w:rPr>
            <w:sz w:val="18"/>
            <w:color w:val="000000"/>
          </w:rPr>
          <w:t>Thông tư 109/2026/TT-BTC có hiệu lực 24/07/2026 thay Thông tư 10/2021/TT-BTC</w:t>
        </w:r>
      </w:hyperlink>
    </w:p>
    <w:p>
      <w:pPr>
        <w:spacing w:after="60" w:line="252" w:lineRule="auto"/>
      </w:pPr>
      <w:hyperlink r:id="rId15">
        <w:r>
          <w:rPr>
            <w:sz w:val="18"/>
            <w:color w:val="000000"/>
          </w:rPr>
          <w:t>Luật Bảo vệ dữ liệu cá nhân 91/2025/QH15 và Nghị định 356/2025/NĐ-CP từ 01/01/2026</w:t>
        </w:r>
      </w:hyperlink>
    </w:p>
    <w:p>
      <w:pPr>
        <w:spacing w:after="60" w:line="252" w:lineRule="auto"/>
      </w:pPr>
      <w:hyperlink r:id="rId16">
        <w:r>
          <w:rPr>
            <w:sz w:val="18"/>
            <w:color w:val="000000"/>
          </w:rPr>
          <w:t>Chế độ kế toán doanh nghiệp Thông tư 99/2025/TT-BTC Điều 31</w:t>
        </w:r>
      </w:hyperlink>
    </w:p>
    <w:sectPr w:rsidR="00FC693F" w:rsidRPr="0006063C" w:rsidSect="00034616">
      <w:headerReference w:type="default" r:id="rId9"/>
      <w:footerReference w:type="default" r:id="rId10"/>
      <w:pgSz w:w="12240" w:h="15840"/>
      <w:pgMar w:top="1037" w:right="1238" w:bottom="1008" w:left="1238"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360" w:val="right"/>
      </w:tabs>
    </w:pPr>
    <w:r>
      <w:rPr>
        <w:rFonts w:ascii="Noto Serif" w:hAnsi="Noto Serif" w:eastAsia="Noto Serif" w:cs="Noto Serif"/>
        <w:color w:val="555555"/>
        <w:sz w:val="16"/>
      </w:rPr>
      <w:t>DVKT 02   |   Bản 2026.1   |   Đối chiếu 12/10/2026</w:t>
      <w:tab/>
    </w:r>
    <w:r>
      <w:rPr>
        <w:rFonts w:ascii="Noto Serif" w:hAnsi="Noto Serif" w:eastAsia="Noto Serif" w:cs="Noto Serif"/>
        <w:color w:val="555555"/>
        <w:sz w:val="16"/>
      </w:rPr>
      <w:t xml:space="preserve">Trang </w:t>
    </w:r>
    <w:fldSimple w:instr="PAGE">
      <w:r>
        <w:rPr>
          <w:sz w:val="16"/>
        </w:rPr>
        <w:t>1</w:t>
      </w:r>
    </w:fldSimple>
    <w:r>
      <w:rPr>
        <w:rFonts w:ascii="Noto Serif" w:hAnsi="Noto Serif" w:eastAsia="Noto Serif" w:cs="Noto Serif"/>
        <w:color w:val="555555"/>
        <w:sz w:val="16"/>
      </w:rPr>
      <w:t xml:space="preserve"> / </w:t>
    </w:r>
    <w:fldSimple w:instr="NUMPAGES">
      <w:r>
        <w:rPr>
          <w:sz w:val="16"/>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Noto Serif" w:hAnsi="Noto Serif" w:eastAsia="Noto Serif" w:cs="Noto Serif"/>
        <w:color w:val="555555"/>
        <w:sz w:val="16"/>
      </w:rPr>
      <w:t>KẾ TOÁN VIỆT HƯNG   |   BỘ MẪU HỢP ĐỒNG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pPr>
    <w:rPr>
      <w:rFonts w:ascii="Noto Serif" w:hAnsi="Noto Serif"/>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76" w:lineRule="auto"/>
      <w:outlineLvl w:val="0"/>
    </w:pPr>
    <w:rPr>
      <w:rFonts w:asciiTheme="majorHAnsi" w:eastAsiaTheme="majorEastAsia" w:hAnsiTheme="majorHAnsi" w:cstheme="majorBidi" w:ascii="Noto Serif" w:hAnsi="Noto Serif"/>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line="276" w:lineRule="auto"/>
      <w:outlineLvl w:val="1"/>
    </w:pPr>
    <w:rPr>
      <w:rFonts w:asciiTheme="majorHAnsi" w:eastAsiaTheme="majorEastAsia" w:hAnsiTheme="majorHAnsi" w:cstheme="majorBidi" w:ascii="Noto Serif" w:hAnsi="Noto Serif"/>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76" w:lineRule="auto"/>
      <w:contextualSpacing/>
    </w:pPr>
    <w:rPr>
      <w:rFonts w:asciiTheme="majorHAnsi" w:eastAsiaTheme="majorEastAsia" w:hAnsiTheme="majorHAnsi" w:cstheme="majorBidi" w:ascii="Noto Serif" w:hAnsi="Noto Serif"/>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276" w:lineRule="auto" w:after="120"/>
    </w:pPr>
    <w:rPr>
      <w:rFonts w:asciiTheme="majorHAnsi" w:eastAsiaTheme="majorEastAsia" w:hAnsiTheme="majorHAnsi" w:cstheme="majorBidi" w:ascii="Noto Serif" w:hAnsi="Noto Serif"/>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hinhphu.vn/default.aspx?docid=183188&amp;pageid=27160" TargetMode="External"/><Relationship Id="rId12" Type="http://schemas.openxmlformats.org/officeDocument/2006/relationships/hyperlink" Target="https://congbao.chinhphu.vn/van-ban/van-ban-hop-nhat-so-41-vbhn-vpqh-469126/63459.htm" TargetMode="External"/><Relationship Id="rId13" Type="http://schemas.openxmlformats.org/officeDocument/2006/relationships/hyperlink" Target="https://vanban.chinhphu.vn/?docid=216541&amp;pageid=27160" TargetMode="External"/><Relationship Id="rId14" Type="http://schemas.openxmlformats.org/officeDocument/2006/relationships/hyperlink" Target="https://vanban.chinhphu.vn/?docid=219097&amp;pageid=27160" TargetMode="External"/><Relationship Id="rId15" Type="http://schemas.openxmlformats.org/officeDocument/2006/relationships/hyperlink" Target="https://vanban.chinhphu.vn/?docid=214590&amp;pageid=27160" TargetMode="External"/><Relationship Id="rId16" Type="http://schemas.openxmlformats.org/officeDocument/2006/relationships/hyperlink" Target="https://congbao.chinhphu.vn/van-ban/thong-tu-so-99-2025-tt-btc-46529.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Hợp đồng thiết lập kế toán ban đầu</dc:title>
  <dc:subject>Mẫu hợp đồng dịch vụ kế toán cho doanh nghiệp</dc:subject>
  <dc:creator>Kế Toán Việt Hưng</dc:creator>
  <cp:keywords>DVKT 02;2026;hợp đồng dịch vụ</cp:keywords>
  <dc:description/>
  <cp:lastModifiedBy>Kế Toán Việt Hưng</cp:lastModifiedBy>
  <cp:revision>1</cp:revision>
  <dcterms:created xsi:type="dcterms:W3CDTF">2026-10-12T00:00:00Z</dcterms:created>
  <dcterms:modified xsi:type="dcterms:W3CDTF">2026-10-12T00:00:00Z</dcterms:modified>
  <cp:category/>
</cp:coreProperties>
</file>