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Công ty cổ phần đầu tư và                             Cộng  hòa xã hội chủ nghĩa Việt Nam</w:t>
      </w:r>
    </w:p>
    <w:p w:rsidR="00000000" w:rsidDel="00000000" w:rsidP="00000000" w:rsidRDefault="00000000" w:rsidRPr="00000000" w14:paraId="0000000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công nghệ Việt Hưng</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Độc lập - Tự do -  Hạnh </w:t>
      </w:r>
      <w:r w:rsidDel="00000000" w:rsidR="00000000" w:rsidRPr="00000000">
        <w:rPr>
          <w:rFonts w:ascii="Times New Roman" w:cs="Times New Roman" w:eastAsia="Times New Roman" w:hAnsi="Times New Roman"/>
          <w:b w:val="1"/>
          <w:bCs w:val="1"/>
          <w:sz w:val="24"/>
          <w:szCs w:val="24"/>
          <w:u w:val="single"/>
          <w:rtl w:val="0"/>
        </w:rPr>
        <w:t xml:space="preserve">phúc</w:t>
      </w:r>
      <w:r w:rsidDel="00000000" w:rsidR="00000000" w:rsidRPr="00000000">
        <w:rPr>
          <w:rtl w:val="0"/>
        </w:rPr>
      </w:r>
    </w:p>
    <w:p w:rsidR="00000000" w:rsidDel="00000000" w:rsidP="00000000" w:rsidRDefault="00000000" w:rsidRPr="00000000" w14:paraId="00000003">
      <w:pPr>
        <w:spacing w:after="120" w:before="12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04">
      <w:pPr>
        <w:spacing w:after="120" w:before="12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pacing w:after="120" w:before="120" w:lineRule="auto"/>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QUY CHẾ</w:t>
      </w:r>
    </w:p>
    <w:p w:rsidR="00000000" w:rsidDel="00000000" w:rsidP="00000000" w:rsidRDefault="00000000" w:rsidRPr="00000000" w14:paraId="00000006">
      <w:pPr>
        <w:spacing w:after="120" w:before="120" w:lineRule="auto"/>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LƯƠNG THƯỞNG</w:t>
      </w:r>
    </w:p>
    <w:p w:rsidR="00000000" w:rsidDel="00000000" w:rsidP="00000000" w:rsidRDefault="00000000" w:rsidRPr="00000000" w14:paraId="00000007">
      <w:pPr>
        <w:spacing w:after="120" w:before="120" w:lineRule="auto"/>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CHẾ ĐỘ NGƯỜI LAO ĐỘNG</w:t>
      </w:r>
    </w:p>
    <w:p w:rsidR="00000000" w:rsidDel="00000000" w:rsidP="00000000" w:rsidRDefault="00000000" w:rsidRPr="00000000" w14:paraId="00000008">
      <w:pPr>
        <w:spacing w:after="120"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 Mục đích</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Quy định về các  khoản mà người lao động nhận được khi tham gia làm việc tại Công ty.</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Quy định về cách tính lương, mức hưởng của các khoản tiền lương và phụ cấp theo lương.</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Quy định về việc trả lương, trả thưởng cho từng cá nhân, từng bộ phận, nhằm khuyến khích người lao động làm việc, hoàn thành tốt công việc theo chức danh và đóng góp quan trọng vào việc hoàn thành kế hoạch sản xuất kinh doanh của Công ty.</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Đảm bảo đời sống cho người lao động Công ty yên tâm công tác, đáp ứng được mức sống cơ bản của người lao động Công ty.</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Thực hiện theo đúng quy định của pháp luật lao động về lương thưởng và các chế độ cho người lao động.</w:t>
      </w:r>
    </w:p>
    <w:p w:rsidR="00000000" w:rsidDel="00000000" w:rsidP="00000000" w:rsidRDefault="00000000" w:rsidRPr="00000000" w14:paraId="0000000E">
      <w:pPr>
        <w:spacing w:after="120"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 Căn cứ theo</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Bộ luật lao động số 10/2012/QH13</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Luật làm việc – Luật số 38/2013/QH13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Nghị định số 153/2016/NĐ-CP</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Luật Doanh nghiệp -  Luật  số 68/2014/QH13</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vào điều lệ tổ chức và hoạt động của Công ty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vào biên bản họp Hội đồng thành viên ngày 02/01/2017 về việc thông qua quy chế trả lương, thưởng của Công ty từ năm 2017</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Những nội dung, quy định trong quy chế này có hiệu lực kể từ ngày được Sở Lao động – Thương binh xã hội TP.Hà Nội thừa nhận, bãi bỏ các quy định trước đây trái với quy chế này.</w:t>
      </w:r>
      <w:r w:rsidDel="00000000" w:rsidR="00000000" w:rsidRPr="00000000">
        <w:rPr>
          <w:rtl w:val="0"/>
        </w:rPr>
      </w:r>
    </w:p>
    <w:p w:rsidR="00000000" w:rsidDel="00000000" w:rsidP="00000000" w:rsidRDefault="00000000" w:rsidRPr="00000000" w14:paraId="00000016">
      <w:pPr>
        <w:spacing w:after="120"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 Phạm vi áp dụng</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Áp dụng cho toàn bộ người lao động tham gia làm việc tại Công ty.</w:t>
      </w:r>
      <w:r w:rsidDel="00000000" w:rsidR="00000000" w:rsidRPr="00000000">
        <w:rPr>
          <w:rtl w:val="0"/>
        </w:rPr>
      </w:r>
    </w:p>
    <w:p w:rsidR="00000000" w:rsidDel="00000000" w:rsidP="00000000" w:rsidRDefault="00000000" w:rsidRPr="00000000" w14:paraId="00000018">
      <w:pPr>
        <w:spacing w:after="120"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 Nội dung: </w:t>
      </w:r>
    </w:p>
    <w:p w:rsidR="00000000" w:rsidDel="00000000" w:rsidP="00000000" w:rsidRDefault="00000000" w:rsidRPr="00000000" w14:paraId="00000019">
      <w:pPr>
        <w:spacing w:after="120" w:before="12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PHẦN I</w:t>
      </w:r>
    </w:p>
    <w:p w:rsidR="00000000" w:rsidDel="00000000" w:rsidP="00000000" w:rsidRDefault="00000000" w:rsidRPr="00000000" w14:paraId="0000001B">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NHỮNG QUY ĐỊNH CHUNG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86"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Lương chính: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là mức lương được trả cho người lao động làm việc hành chính trong điều kiện bình thường theo thời gian làm việc thực tế trong tháng. Lương này được xác định theo Quy định tại Nghị định số: 153/2016/NĐ-CP về mức lương tối thiểu vùng.</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Lương đóng BHXH: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Là mức tiền lương và phụ cấp lương theo quy định tại Thông tư 59/2015/TT-BLĐTBBXH.</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Lương thử việc: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hưởng 85% lương mức lương của công việc đó.</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Lương khoán: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 lương dành cho các cá nhận trực tiếp làm công việc có tính chất thời vụ, vụ việc, những công việc được giao trong một thời gian nhất định, theo một khối lượng công việc cụ thể thông qua hợp đồng khoán việc.</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Cách tính lương: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Áp dụng hình thức trả lương theo thời gian làm việc thực tế trong tháng thông qua ngày công chuẩn làm việc của tháng.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8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Lương thời gian: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áp dụng cho toàn thể nhân viên và lãnh đạo tham gia làm việc trong Công ty.</w:t>
      </w:r>
    </w:p>
    <w:p w:rsidR="00000000" w:rsidDel="00000000" w:rsidP="00000000" w:rsidRDefault="00000000" w:rsidRPr="00000000" w14:paraId="00000022">
      <w:pPr>
        <w:spacing w:after="120" w:before="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PHẦN II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4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CÁC KHOẢN PHỤ CẤP VÀ TRỢ CẤP</w:t>
      </w:r>
      <w:r w:rsidDel="00000000" w:rsidR="00000000" w:rsidRPr="00000000">
        <w:rPr>
          <w:rtl w:val="0"/>
        </w:rPr>
      </w:r>
    </w:p>
    <w:p w:rsidR="00000000" w:rsidDel="00000000" w:rsidP="00000000" w:rsidRDefault="00000000" w:rsidRPr="00000000" w14:paraId="00000024">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Ngoài lương chính được thỏa thuận và ghi cụ thể trong Hợp đồng lao động thì người lao động còn ngận được các khoản phụ cấp, trợ cấp như sau:</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Phụ cấp</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78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Các chức danh: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Giám đốc, Phó giám đốc, kế toán trưởng, quản lý công trình, quản lý xưởng sản xuất:  được hưởng phụ cấp trách nhiệm, theo mức sau: </w:t>
      </w:r>
    </w:p>
    <w:tbl>
      <w:tblPr>
        <w:tblStyle w:val="Table1"/>
        <w:tblW w:w="10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6"/>
        <w:gridCol w:w="1862"/>
        <w:gridCol w:w="1862"/>
        <w:gridCol w:w="1862"/>
        <w:gridCol w:w="1863"/>
        <w:gridCol w:w="1481"/>
        <w:tblGridChange w:id="0">
          <w:tblGrid>
            <w:gridCol w:w="1726"/>
            <w:gridCol w:w="1862"/>
            <w:gridCol w:w="1862"/>
            <w:gridCol w:w="1862"/>
            <w:gridCol w:w="1863"/>
            <w:gridCol w:w="1481"/>
          </w:tblGrid>
        </w:tblGridChange>
      </w:tblGrid>
      <w:tr>
        <w:trPr>
          <w:cantSplit w:val="0"/>
          <w:tblHeader w:val="0"/>
        </w:trPr>
        <w:tc>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Chức danh</w:t>
            </w:r>
          </w:p>
        </w:tc>
        <w:tc>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Giám đốc</w:t>
            </w:r>
          </w:p>
        </w:tc>
        <w:tc>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Phó giám đốc</w:t>
            </w:r>
          </w:p>
        </w:tc>
        <w:tc>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Quản lý công trình</w:t>
            </w:r>
          </w:p>
        </w:tc>
        <w:tc>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Quản lý xưởng sản xuất</w:t>
            </w:r>
          </w:p>
        </w:tc>
        <w:tc>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toán trưởng</w:t>
            </w:r>
          </w:p>
        </w:tc>
      </w:tr>
      <w:tr>
        <w:trPr>
          <w:cantSplit w:val="0"/>
          <w:tblHeader w:val="0"/>
        </w:trPr>
        <w:tc>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Mức hưởng phụ cấp trách nhiệm</w:t>
            </w:r>
          </w:p>
        </w:tc>
        <w:tc>
          <w:tcPr/>
          <w:p w:rsidR="00000000" w:rsidDel="00000000" w:rsidP="00000000" w:rsidRDefault="00000000" w:rsidRPr="00000000" w14:paraId="0000002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3.000.000</w:t>
            </w:r>
          </w:p>
        </w:tc>
        <w:tc>
          <w:tcPr/>
          <w:p w:rsidR="00000000" w:rsidDel="00000000" w:rsidP="00000000" w:rsidRDefault="00000000" w:rsidRPr="00000000" w14:paraId="0000002F">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2.000.000</w:t>
            </w:r>
          </w:p>
        </w:tc>
        <w:tc>
          <w:tcPr/>
          <w:p w:rsidR="00000000" w:rsidDel="00000000" w:rsidP="00000000" w:rsidRDefault="00000000" w:rsidRPr="00000000" w14:paraId="0000003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w:t>
            </w:r>
          </w:p>
        </w:tc>
        <w:tc>
          <w:tcPr/>
          <w:p w:rsidR="00000000" w:rsidDel="00000000" w:rsidP="00000000" w:rsidRDefault="00000000" w:rsidRPr="00000000" w14:paraId="0000003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w:t>
            </w:r>
          </w:p>
        </w:tc>
        <w:tc>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w:t>
            </w:r>
          </w:p>
        </w:tc>
      </w:tr>
    </w:tbl>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8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Toàn bộ người lao động chính thức (không bao gồm lao động thời vụ) kí hợp đồng lao động từ tháng thứ 3 trở lên: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các khoản phụ cấp sau: </w:t>
      </w:r>
    </w:p>
    <w:p w:rsidR="00000000" w:rsidDel="00000000" w:rsidP="00000000" w:rsidRDefault="00000000" w:rsidRPr="00000000" w14:paraId="00000034">
      <w:pPr>
        <w:spacing w:after="120" w:before="12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5">
      <w:pPr>
        <w:spacing w:after="120" w:before="1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120" w:before="120" w:lineRule="auto"/>
        <w:rPr>
          <w:rFonts w:ascii="Times New Roman" w:cs="Times New Roman" w:eastAsia="Times New Roman" w:hAnsi="Times New Roman"/>
          <w:sz w:val="28"/>
          <w:szCs w:val="28"/>
        </w:rPr>
      </w:pPr>
      <w:r w:rsidDel="00000000" w:rsidR="00000000" w:rsidRPr="00000000">
        <w:rPr>
          <w:rtl w:val="0"/>
        </w:rPr>
      </w:r>
    </w:p>
    <w:tbl>
      <w:tblPr>
        <w:tblStyle w:val="Table2"/>
        <w:tblW w:w="1065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2"/>
        <w:gridCol w:w="2692"/>
        <w:gridCol w:w="2646"/>
        <w:gridCol w:w="2646"/>
        <w:tblGridChange w:id="0">
          <w:tblGrid>
            <w:gridCol w:w="2672"/>
            <w:gridCol w:w="2692"/>
            <w:gridCol w:w="2646"/>
            <w:gridCol w:w="2646"/>
          </w:tblGrid>
        </w:tblGridChange>
      </w:tblGrid>
      <w:tr>
        <w:trPr>
          <w:cantSplit w:val="0"/>
          <w:tblHeader w:val="0"/>
        </w:trPr>
        <w:tc>
          <w:tcPr>
            <w:vMerge w:val="restart"/>
          </w:tcPr>
          <w:p w:rsidR="00000000" w:rsidDel="00000000" w:rsidP="00000000" w:rsidRDefault="00000000" w:rsidRPr="00000000" w14:paraId="00000037">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Chức danh</w:t>
            </w:r>
          </w:p>
        </w:tc>
        <w:tc>
          <w:tcPr>
            <w:gridSpan w:val="3"/>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Mức phụ cấp/tháng</w:t>
            </w:r>
          </w:p>
        </w:tc>
      </w:tr>
      <w:tr>
        <w:trPr>
          <w:cantSplit w:val="0"/>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3C">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Ăn trưa</w:t>
            </w:r>
          </w:p>
        </w:tc>
        <w:tc>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Điện thoại</w:t>
            </w:r>
          </w:p>
        </w:tc>
        <w:tc>
          <w:tcPr/>
          <w:p w:rsidR="00000000" w:rsidDel="00000000" w:rsidP="00000000" w:rsidRDefault="00000000" w:rsidRPr="00000000" w14:paraId="0000003E">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Xăng xe</w:t>
            </w:r>
          </w:p>
        </w:tc>
      </w:tr>
      <w:tr>
        <w:trPr>
          <w:cantSplit w:val="0"/>
          <w:tblHeader w:val="0"/>
        </w:trPr>
        <w:tc>
          <w:tcPr>
            <w:gridSpan w:val="4"/>
          </w:tcPr>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quản lý</w:t>
            </w:r>
          </w:p>
        </w:tc>
      </w:tr>
      <w:tr>
        <w:trPr>
          <w:cantSplit w:val="0"/>
          <w:tblHeader w:val="0"/>
        </w:trPr>
        <w:tc>
          <w:tcPr/>
          <w:p w:rsidR="00000000" w:rsidDel="00000000" w:rsidP="00000000" w:rsidRDefault="00000000" w:rsidRPr="00000000" w14:paraId="00000043">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Giám đốc</w:t>
            </w:r>
          </w:p>
        </w:tc>
        <w:tc>
          <w:tcPr/>
          <w:p w:rsidR="00000000" w:rsidDel="00000000" w:rsidP="00000000" w:rsidRDefault="00000000" w:rsidRPr="00000000" w14:paraId="00000044">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45">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w:t>
            </w:r>
          </w:p>
        </w:tc>
        <w:tc>
          <w:tcPr/>
          <w:p w:rsidR="00000000" w:rsidDel="00000000" w:rsidP="00000000" w:rsidRDefault="00000000" w:rsidRPr="00000000" w14:paraId="00000046">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w:t>
            </w:r>
          </w:p>
        </w:tc>
      </w:tr>
      <w:tr>
        <w:trPr>
          <w:cantSplit w:val="0"/>
          <w:tblHeader w:val="0"/>
        </w:trPr>
        <w:tc>
          <w:tcPr/>
          <w:p w:rsidR="00000000" w:rsidDel="00000000" w:rsidP="00000000" w:rsidRDefault="00000000" w:rsidRPr="00000000" w14:paraId="00000047">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Phó Giám đốc</w:t>
            </w:r>
          </w:p>
        </w:tc>
        <w:tc>
          <w:tcPr/>
          <w:p w:rsidR="00000000" w:rsidDel="00000000" w:rsidP="00000000" w:rsidRDefault="00000000" w:rsidRPr="00000000" w14:paraId="00000048">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4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900.000</w:t>
            </w:r>
          </w:p>
        </w:tc>
        <w:tc>
          <w:tcPr/>
          <w:p w:rsidR="00000000" w:rsidDel="00000000" w:rsidP="00000000" w:rsidRDefault="00000000" w:rsidRPr="00000000" w14:paraId="0000004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900.000</w:t>
            </w:r>
          </w:p>
        </w:tc>
      </w:tr>
      <w:tr>
        <w:trPr>
          <w:cantSplit w:val="0"/>
          <w:tblHeader w:val="0"/>
        </w:trPr>
        <w:tc>
          <w:tcPr/>
          <w:p w:rsidR="00000000" w:rsidDel="00000000" w:rsidP="00000000" w:rsidRDefault="00000000" w:rsidRPr="00000000" w14:paraId="0000004B">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toán trưởng</w:t>
            </w:r>
          </w:p>
        </w:tc>
        <w:tc>
          <w:tcPr/>
          <w:p w:rsidR="00000000" w:rsidDel="00000000" w:rsidP="00000000" w:rsidRDefault="00000000" w:rsidRPr="00000000" w14:paraId="0000004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4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800.000</w:t>
            </w:r>
          </w:p>
        </w:tc>
        <w:tc>
          <w:tcPr/>
          <w:p w:rsidR="00000000" w:rsidDel="00000000" w:rsidP="00000000" w:rsidRDefault="00000000" w:rsidRPr="00000000" w14:paraId="0000004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800.000</w:t>
            </w:r>
          </w:p>
        </w:tc>
      </w:tr>
      <w:tr>
        <w:trPr>
          <w:cantSplit w:val="0"/>
          <w:tblHeader w:val="0"/>
        </w:trPr>
        <w:tc>
          <w:tcPr/>
          <w:p w:rsidR="00000000" w:rsidDel="00000000" w:rsidP="00000000" w:rsidRDefault="00000000" w:rsidRPr="00000000" w14:paraId="0000004F">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Quản lý phòng ban</w:t>
            </w:r>
          </w:p>
        </w:tc>
        <w:tc>
          <w:tcPr/>
          <w:p w:rsidR="00000000" w:rsidDel="00000000" w:rsidP="00000000" w:rsidRDefault="00000000" w:rsidRPr="00000000" w14:paraId="0000005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5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800.000</w:t>
            </w:r>
          </w:p>
        </w:tc>
        <w:tc>
          <w:tcPr/>
          <w:p w:rsidR="00000000" w:rsidDel="00000000" w:rsidP="00000000" w:rsidRDefault="00000000" w:rsidRPr="00000000" w14:paraId="0000005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800.000</w:t>
            </w:r>
          </w:p>
        </w:tc>
      </w:tr>
      <w:tr>
        <w:trPr>
          <w:cantSplit w:val="0"/>
          <w:tblHeader w:val="0"/>
        </w:trPr>
        <w:tc>
          <w:tcPr>
            <w:gridSpan w:val="4"/>
          </w:tcPr>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văn phòng</w:t>
            </w:r>
          </w:p>
        </w:tc>
      </w:tr>
      <w:tr>
        <w:trPr>
          <w:cantSplit w:val="0"/>
          <w:tblHeader w:val="0"/>
        </w:trPr>
        <w:tc>
          <w:tcPr/>
          <w:p w:rsidR="00000000" w:rsidDel="00000000" w:rsidP="00000000" w:rsidRDefault="00000000" w:rsidRPr="00000000" w14:paraId="00000057">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Thủ kho</w:t>
            </w:r>
          </w:p>
        </w:tc>
        <w:tc>
          <w:tcPr/>
          <w:p w:rsidR="00000000" w:rsidDel="00000000" w:rsidP="00000000" w:rsidRDefault="00000000" w:rsidRPr="00000000" w14:paraId="00000058">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5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5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5B">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Thủ quỹ</w:t>
            </w:r>
          </w:p>
        </w:tc>
        <w:tc>
          <w:tcPr/>
          <w:p w:rsidR="00000000" w:rsidDel="00000000" w:rsidP="00000000" w:rsidRDefault="00000000" w:rsidRPr="00000000" w14:paraId="0000005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5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5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5F">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viên kế toán</w:t>
            </w:r>
          </w:p>
        </w:tc>
        <w:tc>
          <w:tcPr/>
          <w:p w:rsidR="00000000" w:rsidDel="00000000" w:rsidP="00000000" w:rsidRDefault="00000000" w:rsidRPr="00000000" w14:paraId="0000006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6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6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63">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viên bán hàng</w:t>
            </w:r>
          </w:p>
        </w:tc>
        <w:tc>
          <w:tcPr/>
          <w:p w:rsidR="00000000" w:rsidDel="00000000" w:rsidP="00000000" w:rsidRDefault="00000000" w:rsidRPr="00000000" w14:paraId="00000064">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65">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66">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gridSpan w:val="4"/>
          </w:tcPr>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sản xuất</w:t>
            </w:r>
          </w:p>
        </w:tc>
      </w:tr>
      <w:tr>
        <w:trPr>
          <w:cantSplit w:val="0"/>
          <w:tblHeader w:val="0"/>
        </w:trPr>
        <w:tc>
          <w:tcPr/>
          <w:p w:rsidR="00000000" w:rsidDel="00000000" w:rsidP="00000000" w:rsidRDefault="00000000" w:rsidRPr="00000000" w14:paraId="0000006B">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Kĩ thuật</w:t>
            </w:r>
          </w:p>
        </w:tc>
        <w:tc>
          <w:tcPr/>
          <w:p w:rsidR="00000000" w:rsidDel="00000000" w:rsidP="00000000" w:rsidRDefault="00000000" w:rsidRPr="00000000" w14:paraId="0000006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6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6F">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Thợ máy</w:t>
            </w:r>
          </w:p>
        </w:tc>
        <w:tc>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7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7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73">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Thợ khoan</w:t>
            </w:r>
          </w:p>
        </w:tc>
        <w:tc>
          <w:tcPr/>
          <w:p w:rsidR="00000000" w:rsidDel="00000000" w:rsidP="00000000" w:rsidRDefault="00000000" w:rsidRPr="00000000" w14:paraId="00000074">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75">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76">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77">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nhân</w:t>
            </w:r>
          </w:p>
        </w:tc>
        <w:tc>
          <w:tcPr/>
          <w:p w:rsidR="00000000" w:rsidDel="00000000" w:rsidP="00000000" w:rsidRDefault="00000000" w:rsidRPr="00000000" w14:paraId="00000078">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7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7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r>
        <w:trPr>
          <w:cantSplit w:val="0"/>
          <w:tblHeader w:val="0"/>
        </w:trPr>
        <w:tc>
          <w:tcPr/>
          <w:p w:rsidR="00000000" w:rsidDel="00000000" w:rsidP="00000000" w:rsidRDefault="00000000" w:rsidRPr="00000000" w14:paraId="0000007B">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Lái máy</w:t>
            </w:r>
          </w:p>
        </w:tc>
        <w:tc>
          <w:tcPr/>
          <w:p w:rsidR="00000000" w:rsidDel="00000000" w:rsidP="00000000" w:rsidRDefault="00000000" w:rsidRPr="00000000" w14:paraId="0000007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730.000</w:t>
            </w:r>
          </w:p>
        </w:tc>
        <w:tc>
          <w:tcPr/>
          <w:p w:rsidR="00000000" w:rsidDel="00000000" w:rsidP="00000000" w:rsidRDefault="00000000" w:rsidRPr="00000000" w14:paraId="0000007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c>
          <w:tcPr/>
          <w:p w:rsidR="00000000" w:rsidDel="00000000" w:rsidP="00000000" w:rsidRDefault="00000000" w:rsidRPr="00000000" w14:paraId="0000007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700.000</w:t>
            </w:r>
          </w:p>
        </w:tc>
      </w:tr>
    </w:tbl>
    <w:p w:rsidR="00000000" w:rsidDel="00000000" w:rsidP="00000000" w:rsidRDefault="00000000" w:rsidRPr="00000000" w14:paraId="0000007F">
      <w:pPr>
        <w:spacing w:after="120" w:before="120" w:lineRule="auto"/>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u w:val="single"/>
          <w:rtl w:val="0"/>
        </w:rPr>
        <w:t xml:space="preserve">Lưu ý: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Đây là khung phụ cấp mà người lao động sẽ nhận được trong thời gian làm việc tại Công ty tùy thuộc vào từng chức vụ, trách nhiệm công việc.  </w:t>
      </w:r>
    </w:p>
    <w:p w:rsidR="00000000" w:rsidDel="00000000" w:rsidP="00000000" w:rsidRDefault="00000000" w:rsidRPr="00000000" w14:paraId="00000081">
      <w:pPr>
        <w:spacing w:after="120" w:before="12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Cụ thể: </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quản lý bao gồm: Giám đốc, Phó Giám đốc, quản lý các phòng ban. Ăn ca được quy định từ 630.000 đến 730.000, tiền xăng xe và điện thoại từ 800.000 đến 1.000.000.</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sản xuất bao gồm: các công nhân trong phân xưởng, công trình. Ăn ca được quy định từ: 630.000 đến 730.000; tiền xăng xe và điện thoại từ 500.000 đến 700.000.</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văn phòng bao gồm: kế toán tổng hợp,kế toán chi tiết, thủ quỹ. Ăn ca được quy định từ 630.000 đến 730.000; tiền xăng xe và điện  thoại từ 500.000 đến 700.000.</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hưởng cụ thể được ghi trong Hợp đồng  lao động hoặc quyết định của hội đồng thành viên cho từng cá nhân.</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hưởng trên là tính cho 1 tháng đi làm đầy đủ theo ngày công hành chính trong tháng.</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Phụ cấp xăng xe được quy đổi ra thành xăng xe được mua trực tiếp tại Công ty. </w:t>
      </w:r>
    </w:p>
    <w:p w:rsidR="00000000" w:rsidDel="00000000" w:rsidP="00000000" w:rsidRDefault="00000000" w:rsidRPr="00000000" w14:paraId="00000089">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Những người lao động kí Hợp đồng lao động dưới 3 tháng</w:t>
      </w:r>
      <w:r w:rsidDel="00000000" w:rsidR="00000000" w:rsidRPr="00000000">
        <w:rPr>
          <w:rFonts w:ascii="Times New Roman" w:cs="Times New Roman" w:eastAsia="Times New Roman" w:hAnsi="Times New Roman"/>
          <w:sz w:val="28"/>
          <w:szCs w:val="28"/>
          <w:rtl w:val="0"/>
        </w:rPr>
        <w:t xml:space="preserve"> (thử việc, khoán, thời vụ ): được thỏa thuận các khoản phụ cấp cụ thể trong Hợp đồng lao động.</w:t>
      </w:r>
    </w:p>
    <w:p w:rsidR="00000000" w:rsidDel="00000000" w:rsidP="00000000" w:rsidRDefault="00000000" w:rsidRPr="00000000" w14:paraId="0000008A">
      <w:pPr>
        <w:spacing w:after="120" w:before="120"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Trợ cấp</w:t>
      </w:r>
    </w:p>
    <w:p w:rsidR="00000000" w:rsidDel="00000000" w:rsidP="00000000" w:rsidRDefault="00000000" w:rsidRPr="00000000" w14:paraId="0000008B">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Toàn bộ lao động chính thức (không bao gồm lao động thời vụ), ký Hợp đồng lao động từ 6 tháng trở lên được hưởng tiền hỗ trợ thuê nhà  từ 1.000.000đ đến 2.000.000đ trên tháng. </w:t>
      </w:r>
    </w:p>
    <w:p w:rsidR="00000000" w:rsidDel="00000000" w:rsidP="00000000" w:rsidRDefault="00000000" w:rsidRPr="00000000" w14:paraId="0000008C">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Mức hưởng cụ thể được ghi trong Hợp đồng  lao động hoặc quyết định của hội đồng thành viên cho từng cá nhân.</w:t>
      </w:r>
    </w:p>
    <w:p w:rsidR="00000000" w:rsidDel="00000000" w:rsidP="00000000" w:rsidRDefault="00000000" w:rsidRPr="00000000" w14:paraId="0000008D">
      <w:pPr>
        <w:spacing w:after="120" w:before="120"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Các khoản phúc lợi khác</w:t>
      </w:r>
    </w:p>
    <w:p w:rsidR="00000000" w:rsidDel="00000000" w:rsidP="00000000" w:rsidRDefault="00000000" w:rsidRPr="00000000" w14:paraId="0000008E">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3.1 Hàng năm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F">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lao động được tổ chức đi tham quan, thắng cảnh, nghỉ mát, theo quyết định tại từng thời điểm của ban lãnh đạo Công ty. </w:t>
      </w:r>
    </w:p>
    <w:p w:rsidR="00000000" w:rsidDel="00000000" w:rsidP="00000000" w:rsidRDefault="00000000" w:rsidRPr="00000000" w14:paraId="00000090">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Tùy thuộc vào kết quả kinh doanh, người lao động được hưởng lương tháng thứ 13.</w:t>
      </w:r>
    </w:p>
    <w:p w:rsidR="00000000" w:rsidDel="00000000" w:rsidP="00000000" w:rsidRDefault="00000000" w:rsidRPr="00000000" w14:paraId="00000091">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lao động được tiền sinh nhật không quá 300.000đ/người/năm. </w:t>
      </w:r>
    </w:p>
    <w:p w:rsidR="00000000" w:rsidDel="00000000" w:rsidP="00000000" w:rsidRDefault="00000000" w:rsidRPr="00000000" w14:paraId="00000092">
      <w:pPr>
        <w:spacing w:after="120" w:before="120"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3.2 Chế độ hiếu hỉ</w:t>
      </w:r>
    </w:p>
    <w:p w:rsidR="00000000" w:rsidDel="00000000" w:rsidP="00000000" w:rsidRDefault="00000000" w:rsidRPr="00000000" w14:paraId="00000093">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 thân người lao động: 1.000.000đ/người/lần.</w:t>
      </w:r>
    </w:p>
    <w:p w:rsidR="00000000" w:rsidDel="00000000" w:rsidP="00000000" w:rsidRDefault="00000000" w:rsidRPr="00000000" w14:paraId="00000094">
      <w:pPr>
        <w:spacing w:after="120" w:before="12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Vợ, chồng, bố, mẹ, con, anh, chị, em ruột: 500.000đ/người/lần.</w:t>
      </w:r>
    </w:p>
    <w:p w:rsidR="00000000" w:rsidDel="00000000" w:rsidP="00000000" w:rsidRDefault="00000000" w:rsidRPr="00000000" w14:paraId="00000095">
      <w:pPr>
        <w:spacing w:after="120" w:before="12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pacing w:after="120" w:before="12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after="120" w:before="120" w:lineRule="auto"/>
        <w:ind w:left="36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PHẦN III</w:t>
      </w:r>
    </w:p>
    <w:p w:rsidR="00000000" w:rsidDel="00000000" w:rsidP="00000000" w:rsidRDefault="00000000" w:rsidRPr="00000000" w14:paraId="00000098">
      <w:pPr>
        <w:spacing w:after="120" w:before="120" w:lineRule="auto"/>
        <w:ind w:left="36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TÍNH VÀ TRẢ LƯƠNG</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Việc tính toán lương dựa trên nguyên tắc: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chính xác về số liệu, đảm bảo  trả lương cho người lao động theo đúng quy định.</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Căn cứ để tính lương cho người lao động: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dựa vào thời gian làm việc trên bảng tính lương.</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Tiền lương tháng = </w:t>
      </w:r>
      <m:oMath>
        <m:f>
          <m:fPr>
            <m:ctrlPr>
              <w:rPr>
                <w:rFonts w:ascii="Cambria Math" w:cs="Cambria Math" w:eastAsia="Cambria Math" w:hAnsi="Cambria Math"/>
                <w:b w:val="0"/>
                <w:bCs w:val="0"/>
                <w:i w:val="0"/>
                <w:iCs w:val="0"/>
                <w:smallCaps w:val="0"/>
                <w:strike w:val="0"/>
                <w:color w:val="000000"/>
                <w:sz w:val="28"/>
                <w:szCs w:val="28"/>
                <w:u w:val="none"/>
                <w:shd w:fill="auto" w:val="clear"/>
                <w:vertAlign w:val="baseline"/>
              </w:rPr>
            </m:ctrlPr>
          </m:fPr>
          <m:num>
            <m:r>
              <w:rPr>
                <w:rFonts w:ascii="Cambria Math" w:cs="Cambria Math" w:eastAsia="Cambria Math" w:hAnsi="Cambria Math"/>
                <w:b w:val="0"/>
                <w:bCs w:val="0"/>
                <w:i w:val="0"/>
                <w:iCs w:val="0"/>
                <w:smallCaps w:val="0"/>
                <w:strike w:val="0"/>
                <w:color w:val="000000"/>
                <w:sz w:val="28"/>
                <w:szCs w:val="28"/>
                <w:u w:val="none"/>
                <w:shd w:fill="auto" w:val="clear"/>
                <w:vertAlign w:val="baseline"/>
              </w:rPr>
              <m:t xml:space="preserve">Tiền lương chính+Phụ cấp, trợ cấp (nếu có)</m:t>
            </m:r>
          </m:num>
          <m:den>
            <m:r>
              <w:rPr>
                <w:rFonts w:ascii="Cambria Math" w:cs="Cambria Math" w:eastAsia="Cambria Math" w:hAnsi="Cambria Math"/>
                <w:b w:val="0"/>
                <w:bCs w:val="0"/>
                <w:i w:val="0"/>
                <w:iCs w:val="0"/>
                <w:smallCaps w:val="0"/>
                <w:strike w:val="0"/>
                <w:color w:val="000000"/>
                <w:sz w:val="28"/>
                <w:szCs w:val="28"/>
                <w:u w:val="none"/>
                <w:shd w:fill="auto" w:val="clear"/>
                <w:vertAlign w:val="baseline"/>
              </w:rPr>
              <m:t xml:space="preserve">26</m:t>
            </m:r>
          </m:den>
        </m:f>
        <m:r>
          <w:rPr>
            <w:rFonts w:ascii="Cambria Math" w:cs="Cambria Math" w:eastAsia="Cambria Math" w:hAnsi="Cambria Math"/>
            <w:b w:val="0"/>
            <w:bCs w:val="0"/>
            <w:i w:val="0"/>
            <w:iCs w:val="0"/>
            <w:smallCaps w:val="0"/>
            <w:strike w:val="0"/>
            <w:color w:val="000000"/>
            <w:sz w:val="28"/>
            <w:szCs w:val="28"/>
            <w:u w:val="none"/>
            <w:shd w:fill="auto" w:val="clear"/>
            <w:vertAlign w:val="baseline"/>
          </w:rPr>
          <m:t xml:space="preserve">x số ngày làm việc thực tế</m:t>
        </m:r>
      </m:oMath>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Thời hạn trả lương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Toàn bộ lãnh đạo và nhân viên trong công ty được trả lương vào ngày cuối tháng.</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Tiền lương làm việc thêm giờ</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được tính theo quy định hiện hành của Bộ Luật Lao động như sau:  </w:t>
      </w:r>
    </w:p>
    <w:p w:rsidR="00000000" w:rsidDel="00000000" w:rsidP="00000000" w:rsidRDefault="00000000" w:rsidRPr="00000000" w14:paraId="000000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14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Làm thêm vào ngày thường: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Tiền lương làm thêm giờ = Tiền lương (theo giờ) x 150% x số giờ làm thêm</w:t>
      </w:r>
    </w:p>
    <w:p w:rsidR="00000000" w:rsidDel="00000000" w:rsidP="00000000" w:rsidRDefault="00000000" w:rsidRPr="00000000" w14:paraId="000000A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14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Làm thêm ngày chủ nhật: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Tiền lương làm thêm giờ = Tiền lương (theo giờ) x 200% x số giờ làm thêm</w:t>
      </w:r>
    </w:p>
    <w:p w:rsidR="00000000" w:rsidDel="00000000" w:rsidP="00000000" w:rsidRDefault="00000000" w:rsidRPr="00000000" w14:paraId="000000A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14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Làm thêm vào ngày lễ tết: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Tiền lương làm thêm giờ = Tiền lương (theo giờ) x 300% x số giờ làm thêm</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Tăng lương: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Người lao động được tăng lương, theo thâm niên công tác, hoặc khi khả năng hoàn thành được khối lượng công việc được nhiều hơn lúc ban đầu, hoặc khi có phân công thêm công việc, hoặc khi có thành tích trong công việc. </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Công tác phí.</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Chi phí thuê phòng nghỉ</w:t>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Giám đốc: Thanh toán tiền phòng thực chi theo hóa.</w:t>
      </w:r>
    </w:p>
    <w:p w:rsidR="00000000" w:rsidDel="00000000" w:rsidP="00000000" w:rsidRDefault="00000000" w:rsidRPr="00000000" w14:paraId="000000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Phó Giám đốc: Chi phí mức tiền phòng tối đa 800.000đ/phòng đơn hoặc phòng đôi/ngày.</w:t>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đối tượng khác: Chi phí mức phòng ngủ 02/người/phòng/ngày với mức giá tối đa 600.000đ/phòng/ngày; nếu lẻ hoặc có 01 người khác giới: ở 01 phòng với mức giá tối đa 400.000đ/người/ngày.( kèm hóa đơn theo quy định hiện hành).</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Chi phí xăng xe</w:t>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Giám đốc: Được chi trả toàn bộ chi phí xăng xe theo phương thức bình quân, không quá 20 lít/ngày. Mức hưởng tính trên số ngày đi làm đầy đủ.</w:t>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Phó giám đốc: Được chi trả toàn bộ chi phí xăng xe theo phương thức bình quân, không quá 15 lít/ngày. Mức hưởng tính trên số ngày đi làm đầy đủ.</w:t>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đối tượng khác: Thực chi theo chiều dài quãng đường đến nơi công tác.</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Phụ cấp lưu trú.</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Phụ cấp lưu trú là khoản tiền do cơ quan văn phòng Công ty chi trả cho người đi công tác phải nghỉ lại nơi đến công tác để hỗ trợ tiền ăn và tiêu vặt cho người đi công tác, được tính từ ngày bắt đầu đi công tác đến khi trở về cơ quan (bao gồm thời gian đi trên đường, thời gian lưu trú tại nơi đến công tác).</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phụ cấp lưu trú để trả cho người đi công tác tối đa không quá 200.000đ/ngày.</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Trường hợp đi công tác trong ngày (đi và về trong ngày), căn cứ mức chi phụ cấp lưu trú quy định nêu trên thủ trưởng cơ quan, đơn vị quyết định mức chi cụ thể cho phù hợp nhưng không quá 100.000đ/ngày.</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Đối với xe chở hàng, mỗi chuyển chở hàng, lái xe và phụ lái được thanh toán đi đường. Mức cụ thể như sau:</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Nếu quãng đường dưới 20Km, mà số chuyến chạy từ 3 chuyến trong ngày trở lên thì được phụ cấp 50.000đ/chuyến.</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Nếu quãng đường từ 20Km đến 50Km phụ cấp 120.000đ/chuyến. </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Nếu quãng đường từ 50Km đến 100Km thì phụ cấp 150.000đ/chuyến. </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Nếu quãng đường trên 100km thì phụ cấp 200.000đ/chuyến.  </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Trường hợp phải lưu trú qua đêm, lái xe có xác nhận của bên thuê chở hàng, thì được thanh toán phụ cấp lưu trú và nghỉ đêm như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quy định đối với nhân viên trong Công ty.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Sử dụng phương tiện ô tô, máy bay để đi công tác. </w:t>
      </w:r>
    </w:p>
    <w:p w:rsidR="00000000" w:rsidDel="00000000" w:rsidP="00000000" w:rsidRDefault="00000000" w:rsidRPr="00000000" w14:paraId="000000BB">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Lãnh đạo Công ty;</w:t>
      </w:r>
    </w:p>
    <w:p w:rsidR="00000000" w:rsidDel="00000000" w:rsidP="00000000" w:rsidRDefault="00000000" w:rsidRPr="00000000" w14:paraId="000000BC">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Trưởng  các bộ phận, cán bộ, nhân viên</w:t>
      </w:r>
    </w:p>
    <w:p w:rsidR="00000000" w:rsidDel="00000000" w:rsidP="00000000" w:rsidRDefault="00000000" w:rsidRPr="00000000" w14:paraId="000000BD">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đi công tác ngoại tỉnh, cá nhân chủ động lựa chọn phương tiện phù hợp để trực tiếp mua vé, thuê xe (có Hợp đồng thuê xe đi kèm) và khi về được thanh toán tiền tàu xe theo chế độ hiện hành. Mua vé máy bay phải có hóa đơn theo quy định hoặc thẻ lên máy bay để đủ chứng từ cho thủ tục thanh toán. </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Chi phí đồng phục</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 trang phục cho người lao động để làm việc bao gồm: quần áo bảo hộ, giầy,...Mẫu đồng phục do Công ty quy định cho từng bộ phận.</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chi phí đồng phục không quá 5.000.000 đồng/người/năm, được chi bằng tiền mặt căn cứ theo bảng kê cụ thể.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Chi hội họp, tiếp khách. </w:t>
      </w:r>
    </w:p>
    <w:p w:rsidR="00000000" w:rsidDel="00000000" w:rsidP="00000000" w:rsidRDefault="00000000" w:rsidRPr="00000000" w14:paraId="000000C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140" w:right="0" w:hanging="4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Chi hội họp</w:t>
      </w:r>
    </w:p>
    <w:p w:rsidR="00000000" w:rsidDel="00000000" w:rsidP="00000000" w:rsidRDefault="00000000" w:rsidRPr="00000000" w14:paraId="000000C3">
      <w:pPr>
        <w:spacing w:after="120" w:before="120" w:lineRule="auto"/>
        <w:ind w:left="72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Tùy tính chất và thời gian tổ chức hội họp Giám đốc Công ty phê duyệt các khoản chi phí liên quan nhưng tối đa không quá mức cụ thể như sau: </w:t>
      </w:r>
      <w:r w:rsidDel="00000000" w:rsidR="00000000" w:rsidRPr="00000000">
        <w:rPr>
          <w:rtl w:val="0"/>
        </w:rPr>
      </w:r>
    </w:p>
    <w:tbl>
      <w:tblPr>
        <w:tblStyle w:val="Table3"/>
        <w:tblpPr w:leftFromText="180" w:rightFromText="180" w:topFromText="0" w:bottomFromText="0" w:vertAnchor="text" w:horzAnchor="text" w:tblpX="1085" w:tblpY="129"/>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3870"/>
        <w:gridCol w:w="3685"/>
        <w:tblGridChange w:id="0">
          <w:tblGrid>
            <w:gridCol w:w="1075"/>
            <w:gridCol w:w="3870"/>
            <w:gridCol w:w="3685"/>
          </w:tblGrid>
        </w:tblGridChange>
      </w:tblGrid>
      <w:tr>
        <w:trPr>
          <w:cantSplit w:val="0"/>
          <w:tblHeader w:val="0"/>
        </w:trPr>
        <w:tc>
          <w:tcPr/>
          <w:p w:rsidR="00000000" w:rsidDel="00000000" w:rsidP="00000000" w:rsidRDefault="00000000" w:rsidRPr="00000000" w14:paraId="000000C4">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STT</w:t>
            </w:r>
          </w:p>
        </w:tc>
        <w:tc>
          <w:tcPr/>
          <w:p w:rsidR="00000000" w:rsidDel="00000000" w:rsidP="00000000" w:rsidRDefault="00000000" w:rsidRPr="00000000" w14:paraId="000000C5">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Khoản mục chi</w:t>
            </w:r>
          </w:p>
        </w:tc>
        <w:tc>
          <w:tcPr/>
          <w:p w:rsidR="00000000" w:rsidDel="00000000" w:rsidP="00000000" w:rsidRDefault="00000000" w:rsidRPr="00000000" w14:paraId="000000C6">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Mức thanh toán tối đa</w:t>
            </w:r>
          </w:p>
        </w:tc>
      </w:tr>
      <w:tr>
        <w:trPr>
          <w:cantSplit w:val="0"/>
          <w:tblHeader w:val="0"/>
        </w:trPr>
        <w:tc>
          <w:tcPr/>
          <w:p w:rsidR="00000000" w:rsidDel="00000000" w:rsidP="00000000" w:rsidRDefault="00000000" w:rsidRPr="00000000" w14:paraId="000000C7">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C8">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bồi dưỡng</w:t>
            </w:r>
          </w:p>
        </w:tc>
        <w:tc>
          <w:tcPr/>
          <w:p w:rsidR="00000000" w:rsidDel="00000000" w:rsidP="00000000" w:rsidRDefault="00000000" w:rsidRPr="00000000" w14:paraId="000000C9">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B">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Chủ trì hội nghị </w:t>
            </w:r>
          </w:p>
        </w:tc>
        <w:tc>
          <w:tcPr/>
          <w:p w:rsidR="00000000" w:rsidDel="00000000" w:rsidP="00000000" w:rsidRDefault="00000000" w:rsidRPr="00000000" w14:paraId="000000CC">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200.000 đ/người/buổi</w:t>
            </w:r>
          </w:p>
        </w:tc>
      </w:tr>
      <w:tr>
        <w:trPr>
          <w:cantSplit w:val="0"/>
          <w:tblHeader w:val="0"/>
        </w:trPr>
        <w:tc>
          <w:tcPr/>
          <w:p w:rsidR="00000000" w:rsidDel="00000000" w:rsidP="00000000" w:rsidRDefault="00000000" w:rsidRPr="00000000" w14:paraId="000000CD">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E">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Thanh viên ban tổ chức </w:t>
            </w:r>
          </w:p>
        </w:tc>
        <w:tc>
          <w:tcPr/>
          <w:p w:rsidR="00000000" w:rsidDel="00000000" w:rsidP="00000000" w:rsidRDefault="00000000" w:rsidRPr="00000000" w14:paraId="000000CF">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150.000 đ/người/buổi</w:t>
            </w:r>
          </w:p>
        </w:tc>
      </w:tr>
      <w:tr>
        <w:trPr>
          <w:cantSplit w:val="0"/>
          <w:tblHeader w:val="0"/>
        </w:trPr>
        <w:tc>
          <w:tcPr/>
          <w:p w:rsidR="00000000" w:rsidDel="00000000" w:rsidP="00000000" w:rsidRDefault="00000000" w:rsidRPr="00000000" w14:paraId="000000D0">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1">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biểu tham dự</w:t>
            </w:r>
          </w:p>
        </w:tc>
        <w:tc>
          <w:tcPr/>
          <w:p w:rsidR="00000000" w:rsidDel="00000000" w:rsidP="00000000" w:rsidRDefault="00000000" w:rsidRPr="00000000" w14:paraId="000000D2">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 đ/người/buổi</w:t>
            </w:r>
          </w:p>
        </w:tc>
      </w:tr>
      <w:tr>
        <w:trPr>
          <w:cantSplit w:val="0"/>
          <w:tblHeader w:val="0"/>
        </w:trPr>
        <w:tc>
          <w:tcPr/>
          <w:p w:rsidR="00000000" w:rsidDel="00000000" w:rsidP="00000000" w:rsidRDefault="00000000" w:rsidRPr="00000000" w14:paraId="000000D3">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4">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Phục vụ đại hội </w:t>
            </w:r>
          </w:p>
        </w:tc>
        <w:tc>
          <w:tcPr/>
          <w:p w:rsidR="00000000" w:rsidDel="00000000" w:rsidP="00000000" w:rsidRDefault="00000000" w:rsidRPr="00000000" w14:paraId="000000D5">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 đ/người/buổi</w:t>
            </w:r>
          </w:p>
        </w:tc>
      </w:tr>
      <w:tr>
        <w:trPr>
          <w:cantSplit w:val="0"/>
          <w:tblHeader w:val="0"/>
        </w:trPr>
        <w:tc>
          <w:tcPr/>
          <w:p w:rsidR="00000000" w:rsidDel="00000000" w:rsidP="00000000" w:rsidRDefault="00000000" w:rsidRPr="00000000" w14:paraId="000000D6">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p w:rsidR="00000000" w:rsidDel="00000000" w:rsidP="00000000" w:rsidRDefault="00000000" w:rsidRPr="00000000" w14:paraId="000000D7">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liên hoan hàng tháng, tổng kết cuối năm </w:t>
            </w:r>
          </w:p>
        </w:tc>
        <w:tc>
          <w:tcPr/>
          <w:p w:rsidR="00000000" w:rsidDel="00000000" w:rsidP="00000000" w:rsidRDefault="00000000" w:rsidRPr="00000000" w14:paraId="000000D8">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1.000.000đ/người/buổi</w:t>
            </w:r>
          </w:p>
        </w:tc>
      </w:tr>
      <w:tr>
        <w:trPr>
          <w:cantSplit w:val="0"/>
          <w:tblHeader w:val="0"/>
        </w:trPr>
        <w:tc>
          <w:tcPr/>
          <w:p w:rsidR="00000000" w:rsidDel="00000000" w:rsidP="00000000" w:rsidRDefault="00000000" w:rsidRPr="00000000" w14:paraId="000000D9">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A">
            <w:pPr>
              <w:spacing w:after="120" w:before="120" w:lineRule="auto"/>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Chi tiền ngày lễ 08/03, 30/04, 01/05, 20/10,.. </w:t>
            </w:r>
            <w:r w:rsidDel="00000000" w:rsidR="00000000" w:rsidRPr="00000000">
              <w:rPr>
                <w:rtl w:val="0"/>
              </w:rPr>
            </w:r>
          </w:p>
        </w:tc>
        <w:tc>
          <w:tcPr/>
          <w:p w:rsidR="00000000" w:rsidDel="00000000" w:rsidP="00000000" w:rsidRDefault="00000000" w:rsidRPr="00000000" w14:paraId="000000DB">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500.000 đ/lần</w:t>
            </w:r>
          </w:p>
        </w:tc>
      </w:tr>
    </w:tbl>
    <w:p w:rsidR="00000000" w:rsidDel="00000000" w:rsidP="00000000" w:rsidRDefault="00000000" w:rsidRPr="00000000" w14:paraId="000000DC">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7">
      <w:pPr>
        <w:spacing w:after="120" w:before="1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khoản chi liên hoan, tổng kết được trích từ quỹ kinh phí công đoàn của Công ty.</w:t>
      </w:r>
    </w:p>
    <w:p w:rsidR="00000000" w:rsidDel="00000000" w:rsidP="00000000" w:rsidRDefault="00000000" w:rsidRPr="00000000" w14:paraId="000000E9">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Chứng từ thanh toán: Phiếu chi có ký nhận của cá nhân nhận tiền. </w:t>
      </w:r>
    </w:p>
    <w:p w:rsidR="00000000" w:rsidDel="00000000" w:rsidP="00000000" w:rsidRDefault="00000000" w:rsidRPr="00000000" w14:paraId="000000E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76" w:lineRule="auto"/>
        <w:ind w:left="1140" w:right="0" w:hanging="4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Chi tiếp khách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B">
      <w:pPr>
        <w:spacing w:after="120" w:before="12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tiếp khách phải có chừng từ thanh toán: Hóa đơn, chứng từ tiếp khách hợp pháp.  </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Các khoản chi khác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 phí dịch vụ thuê ngoài: </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Tiền mua bảo hiểm hỏa hoạn và các rủi ro đặc biệt.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 phí quảng cáo thực hiện chi theo kế hoạch hàng tháng. Phục vụ trực tiếp cho hoạt động  kinh doanh của Công ty, có chứng từ, hóa đơn theo chế độ quy định.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 mua văn phòng phẩm phải có chứng từ thanh toán, hóa đơn.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 cho y tế trong nội bộ Công ty (Khám bệnh định kì cho người lao động, thuốc...).</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 thăm hỏi, nhân viên đau ốm, thai sản. </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Tổ chức thực hiện. </w:t>
      </w:r>
    </w:p>
    <w:p w:rsidR="00000000" w:rsidDel="00000000" w:rsidP="00000000" w:rsidRDefault="00000000" w:rsidRPr="00000000" w14:paraId="000000F4">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chế này được thống nhất trong toàn thể cán bộ-nhân viên trong Công ty. Trong quá trình thực hiện, nếu có nội dung nào phát sinh chưa phù hợp với yêu cầu, sẽ được hoàn thiện và bổ sung, sửa đổi cho phù hợp.  </w:t>
      </w:r>
    </w:p>
    <w:p w:rsidR="00000000" w:rsidDel="00000000" w:rsidP="00000000" w:rsidRDefault="00000000" w:rsidRPr="00000000" w14:paraId="000000F5">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Hiệu lực thực hiện từ ngày 01 tháng 01 năm 20….. </w:t>
      </w:r>
    </w:p>
    <w:p w:rsidR="00000000" w:rsidDel="00000000" w:rsidP="00000000" w:rsidRDefault="00000000" w:rsidRPr="00000000" w14:paraId="000000F6">
      <w:pPr>
        <w:spacing w:after="120" w:before="120" w:lineRule="auto"/>
        <w:ind w:firstLine="720"/>
        <w:jc w:val="both"/>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5b9bd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rPr>
    </w:lvl>
    <w:lvl w:ilvl="1">
      <w:start w:val="1"/>
      <w:numFmt w:val="decimal"/>
      <w:lvlText w:val="%1.%2"/>
      <w:lvlJc w:val="left"/>
      <w:pPr>
        <w:ind w:left="780" w:hanging="42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440" w:hanging="108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800" w:hanging="144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2160" w:hanging="1800"/>
      </w:pPr>
      <w:rPr>
        <w:b w:val="1"/>
        <w:bCs w:val="1"/>
      </w:rPr>
    </w:lvl>
    <w:lvl w:ilvl="8">
      <w:start w:val="1"/>
      <w:numFmt w:val="decimal"/>
      <w:lvlText w:val="%1.%2.%3.%4.%5.%6.%7.%8.%9"/>
      <w:lvlJc w:val="left"/>
      <w:pPr>
        <w:ind w:left="2520" w:hanging="2160"/>
      </w:pPr>
      <w:rPr>
        <w:b w:val="1"/>
        <w:bCs w:val="1"/>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b w:val="1"/>
        <w:bCs w:val="1"/>
      </w:rPr>
    </w:lvl>
    <w:lvl w:ilvl="1">
      <w:start w:val="1"/>
      <w:numFmt w:val="decimal"/>
      <w:lvlText w:val="%1.%2"/>
      <w:lvlJc w:val="left"/>
      <w:pPr>
        <w:ind w:left="1140" w:hanging="420"/>
      </w:pPr>
      <w:rPr>
        <w:b w:val="1"/>
        <w:bCs w:val="1"/>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2880" w:hanging="1080"/>
      </w:pPr>
      <w:rPr/>
    </w:lvl>
    <w:lvl w:ilvl="5">
      <w:start w:val="1"/>
      <w:numFmt w:val="decimal"/>
      <w:lvlText w:val="%1.%2.%3.%4.%5.%6"/>
      <w:lvlJc w:val="left"/>
      <w:pPr>
        <w:ind w:left="3600" w:hanging="1440"/>
      </w:pPr>
      <w:rPr/>
    </w:lvl>
    <w:lvl w:ilvl="6">
      <w:start w:val="1"/>
      <w:numFmt w:val="decimal"/>
      <w:lvlText w:val="%1.%2.%3.%4.%5.%6.%7"/>
      <w:lvlJc w:val="left"/>
      <w:pPr>
        <w:ind w:left="3960" w:hanging="1440"/>
      </w:pPr>
      <w:rPr/>
    </w:lvl>
    <w:lvl w:ilvl="7">
      <w:start w:val="1"/>
      <w:numFmt w:val="decimal"/>
      <w:lvlText w:val="%1.%2.%3.%4.%5.%6.%7.%8"/>
      <w:lvlJc w:val="left"/>
      <w:pPr>
        <w:ind w:left="4680" w:hanging="1800"/>
      </w:pPr>
      <w:rPr/>
    </w:lvl>
    <w:lvl w:ilvl="8">
      <w:start w:val="1"/>
      <w:numFmt w:val="decimal"/>
      <w:lvlText w:val="%1.%2.%3.%4.%5.%6.%7.%8.%9"/>
      <w:lvlJc w:val="left"/>
      <w:pPr>
        <w:ind w:left="5400" w:hanging="2160"/>
      </w:pPr>
      <w:rPr/>
    </w:lvl>
  </w:abstractNum>
  <w:abstractNum w:abstractNumId="5">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A337B"/>
    <w:pPr>
      <w:ind w:left="720"/>
      <w:contextualSpacing w:val="1"/>
    </w:pPr>
  </w:style>
  <w:style w:type="table" w:styleId="TableGrid">
    <w:name w:val="Table Grid"/>
    <w:basedOn w:val="TableNormal"/>
    <w:rsid w:val="008746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E03BBE"/>
    <w:pPr>
      <w:tabs>
        <w:tab w:val="center" w:pos="4680"/>
        <w:tab w:val="right" w:pos="9360"/>
      </w:tabs>
      <w:spacing w:after="0" w:line="240" w:lineRule="auto"/>
    </w:pPr>
  </w:style>
  <w:style w:type="character" w:styleId="HeaderChar" w:customStyle="1">
    <w:name w:val="Header Char"/>
    <w:basedOn w:val="DefaultParagraphFont"/>
    <w:link w:val="Header"/>
    <w:rsid w:val="00E03BBE"/>
    <w:rPr>
      <w:rFonts w:ascii="Calibri" w:cs="Calibri" w:eastAsia="Calibri" w:hAnsi="Calibri"/>
      <w:sz w:val="22"/>
      <w:szCs w:val="22"/>
    </w:rPr>
  </w:style>
  <w:style w:type="paragraph" w:styleId="Footer">
    <w:name w:val="footer"/>
    <w:basedOn w:val="Normal"/>
    <w:link w:val="FooterChar"/>
    <w:uiPriority w:val="99"/>
    <w:unhideWhenUsed w:val="1"/>
    <w:rsid w:val="00E03B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3BBE"/>
    <w:rPr>
      <w:rFonts w:ascii="Calibri" w:cs="Calibri" w:eastAsia="Calibri" w:hAnsi="Calibri"/>
      <w:sz w:val="22"/>
      <w:szCs w:val="22"/>
    </w:rPr>
  </w:style>
  <w:style w:type="paragraph" w:styleId="BalloonText">
    <w:name w:val="Balloon Text"/>
    <w:basedOn w:val="Normal"/>
    <w:link w:val="BalloonTextChar"/>
    <w:semiHidden w:val="1"/>
    <w:unhideWhenUsed w:val="1"/>
    <w:rsid w:val="00E03BB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E03BBE"/>
    <w:rPr>
      <w:rFonts w:ascii="Segoe UI" w:cs="Segoe UI" w:eastAsia="Calibri" w:hAnsi="Segoe UI"/>
      <w:sz w:val="18"/>
      <w:szCs w:val="18"/>
    </w:rPr>
  </w:style>
  <w:style w:type="character" w:styleId="PlaceholderText">
    <w:name w:val="Placeholder Text"/>
    <w:basedOn w:val="DefaultParagraphFont"/>
    <w:uiPriority w:val="99"/>
    <w:semiHidden w:val="1"/>
    <w:rsid w:val="00002958"/>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49hEof2H4ZztItWksf3BzOYETg==">CgMxLjA4AHIhMXpnRHZGX3A2RG14aUQ2c0JFNEtJSi1ndHhYcnVuYjJx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2017-08-08T02:04:00Z</dcterms:created>
  <dc:creator>maychu</dc:creator>
</cp:coreProperties>
</file>